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Times New Roman" w:cs="Times New Roman" w:eastAsia="Times New Roman" w:hAnsi="Times New Roman"/>
          <w:b/>
          <w:bCs/>
          <w:i w:val="false"/>
          <w:iCs w:val="false"/>
          <w:color w:val="000000"/>
          <w:sz w:val="28"/>
          <w:szCs w:val="28"/>
        </w:rPr>
        <w:t xml:space="preserve">Export Compliance Policy</w:t>
      </w:r>
    </w:p>
    <w:p>
      <w:pPr>
        <w:spacing w:after="240" w:before="0"/>
        <w:jc w:val="center"/>
      </w:pPr>
      <w:r>
        <w:rPr>
          <w:rFonts w:ascii="Times New Roman" w:cs="Times New Roman" w:eastAsia="Times New Roman" w:hAnsi="Times New Roman"/>
          <w:b w:val="false"/>
          <w:bCs w:val="false"/>
          <w:i w:val="false"/>
          <w:iCs w:val="false"/>
          <w:color w:val="555555"/>
          <w:sz w:val="20"/>
          <w:szCs w:val="20"/>
        </w:rPr>
        <w:t xml:space="preserve">ECP-GOV-002</w:t>
      </w:r>
    </w:p>
    <w:p>
      <w:pPr>
        <w:spacing w:after="100" w:before="0"/>
        <w:jc w:val="left"/>
      </w:pPr>
      <w:r>
        <w:rPr>
          <w:rFonts w:ascii="Times New Roman" w:cs="Times New Roman" w:eastAsia="Times New Roman" w:hAnsi="Times New Roman"/>
          <w:b/>
          <w:bCs/>
          <w:i w:val="false"/>
          <w:iCs w:val="false"/>
          <w:color w:val="000000"/>
          <w:sz w:val="24"/>
          <w:szCs w:val="24"/>
        </w:rPr>
        <w:t xml:space="preserve">Organization:</w:t>
      </w:r>
      <w:r>
        <w:rPr>
          <w:rFonts w:ascii="Times New Roman" w:cs="Times New Roman" w:eastAsia="Times New Roman" w:hAnsi="Times New Roman"/>
          <w:b w:val="false"/>
          <w:bCs w:val="false"/>
          <w:i w:val="false"/>
          <w:iCs w:val="false"/>
          <w:color w:val="000000"/>
          <w:sz w:val="24"/>
          <w:szCs w:val="24"/>
        </w:rPr>
        <w:t xml:space="preserve">  [Legal Name of Company]</w:t>
      </w:r>
    </w:p>
    <w:p>
      <w:pPr>
        <w:spacing w:after="100" w:before="0"/>
        <w:jc w:val="left"/>
      </w:pPr>
      <w:r>
        <w:rPr>
          <w:rFonts w:ascii="Times New Roman" w:cs="Times New Roman" w:eastAsia="Times New Roman" w:hAnsi="Times New Roman"/>
          <w:b/>
          <w:bCs/>
          <w:i w:val="false"/>
          <w:iCs w:val="false"/>
          <w:color w:val="000000"/>
          <w:sz w:val="24"/>
          <w:szCs w:val="24"/>
        </w:rPr>
        <w:t xml:space="preserve">Policy Owner:</w:t>
      </w:r>
      <w:r>
        <w:rPr>
          <w:rFonts w:ascii="Times New Roman" w:cs="Times New Roman" w:eastAsia="Times New Roman" w:hAnsi="Times New Roman"/>
          <w:b w:val="false"/>
          <w:bCs w:val="false"/>
          <w:i w:val="false"/>
          <w:iCs w:val="false"/>
          <w:color w:val="000000"/>
          <w:sz w:val="24"/>
          <w:szCs w:val="24"/>
        </w:rPr>
        <w:t xml:space="preserve">  [Export Compliance Officer / General Counsel]</w:t>
      </w:r>
    </w:p>
    <w:p>
      <w:pPr>
        <w:spacing w:after="100" w:before="0"/>
        <w:jc w:val="left"/>
      </w:pPr>
      <w:r>
        <w:rPr>
          <w:rFonts w:ascii="Times New Roman" w:cs="Times New Roman" w:eastAsia="Times New Roman" w:hAnsi="Times New Roman"/>
          <w:b/>
          <w:bCs/>
          <w:i w:val="false"/>
          <w:iCs w:val="false"/>
          <w:color w:val="000000"/>
          <w:sz w:val="24"/>
          <w:szCs w:val="24"/>
        </w:rPr>
        <w:t xml:space="preserve">Effective Date:</w:t>
      </w:r>
      <w:r>
        <w:rPr>
          <w:rFonts w:ascii="Times New Roman" w:cs="Times New Roman" w:eastAsia="Times New Roman" w:hAnsi="Times New Roman"/>
          <w:b w:val="false"/>
          <w:bCs w:val="false"/>
          <w:i w:val="false"/>
          <w:iCs w:val="false"/>
          <w:color w:val="000000"/>
          <w:sz w:val="24"/>
          <w:szCs w:val="24"/>
        </w:rPr>
        <w:t xml:space="preserve">  [Date]</w:t>
      </w:r>
    </w:p>
    <w:p>
      <w:pPr>
        <w:spacing w:after="100" w:before="0"/>
        <w:jc w:val="left"/>
      </w:pPr>
      <w:r>
        <w:rPr>
          <w:rFonts w:ascii="Times New Roman" w:cs="Times New Roman" w:eastAsia="Times New Roman" w:hAnsi="Times New Roman"/>
          <w:b/>
          <w:bCs/>
          <w:i w:val="false"/>
          <w:iCs w:val="false"/>
          <w:color w:val="000000"/>
          <w:sz w:val="24"/>
          <w:szCs w:val="24"/>
        </w:rPr>
        <w:t xml:space="preserve">Review Cycle:</w:t>
      </w:r>
      <w:r>
        <w:rPr>
          <w:rFonts w:ascii="Times New Roman" w:cs="Times New Roman" w:eastAsia="Times New Roman" w:hAnsi="Times New Roman"/>
          <w:b w:val="false"/>
          <w:bCs w:val="false"/>
          <w:i w:val="false"/>
          <w:iCs w:val="false"/>
          <w:color w:val="000000"/>
          <w:sz w:val="24"/>
          <w:szCs w:val="24"/>
        </w:rPr>
        <w:t xml:space="preserve">  Annual, or upon material regulatory or organizational change</w:t>
      </w:r>
    </w:p>
    <w:p>
      <w:pPr>
        <w:spacing w:after="100" w:before="0"/>
        <w:jc w:val="left"/>
      </w:pPr>
      <w:r>
        <w:rPr>
          <w:rFonts w:ascii="Times New Roman" w:cs="Times New Roman" w:eastAsia="Times New Roman" w:hAnsi="Times New Roman"/>
          <w:b/>
          <w:bCs/>
          <w:i w:val="false"/>
          <w:iCs w:val="false"/>
          <w:color w:val="000000"/>
          <w:sz w:val="24"/>
          <w:szCs w:val="24"/>
        </w:rPr>
        <w:t xml:space="preserve">Supersedes:</w:t>
      </w:r>
      <w:r>
        <w:rPr>
          <w:rFonts w:ascii="Times New Roman" w:cs="Times New Roman" w:eastAsia="Times New Roman" w:hAnsi="Times New Roman"/>
          <w:b w:val="false"/>
          <w:bCs w:val="false"/>
          <w:i w:val="false"/>
          <w:iCs w:val="false"/>
          <w:color w:val="000000"/>
          <w:sz w:val="24"/>
          <w:szCs w:val="24"/>
        </w:rPr>
        <w:t xml:space="preserve">  N/A (initial issue)</w:t>
      </w:r>
    </w:p>
    <w:p>
      <w:pPr>
        <w:spacing w:after="200" w:before="0"/>
        <w:jc w:val="left"/>
      </w:pPr>
      <w:r>
        <w:rPr>
          <w:rFonts w:ascii="Times New Roman" w:cs="Times New Roman" w:eastAsia="Times New Roman" w:hAnsi="Times New Roman"/>
          <w:b w:val="false"/>
          <w:bCs w:val="false"/>
          <w:i w:val="false"/>
          <w:iCs w:val="false"/>
          <w:color w:val="000000"/>
          <w:sz w:val="24"/>
          <w:szCs w:val="24"/>
        </w:rPr>
        <w:t xml:space="preserve"/>
      </w:r>
    </w:p>
    <w:p>
      <w:pPr>
        <w:pBdr>
          <w:bottom w:val="single" w:color="000000" w:sz="6" w:space="4"/>
        </w:pBdr>
        <w:spacing w:after="80" w:before="240"/>
      </w:pPr>
      <w:r>
        <w:rPr>
          <w:rFonts w:ascii="Times New Roman" w:cs="Times New Roman" w:eastAsia="Times New Roman" w:hAnsi="Times New Roman"/>
          <w:b/>
          <w:bCs/>
          <w:i w:val="false"/>
          <w:iCs w:val="false"/>
          <w:color w:val="000000"/>
          <w:sz w:val="24"/>
          <w:szCs w:val="24"/>
        </w:rPr>
        <w:t xml:space="preserve">1.  Policy Statement</w:t>
      </w:r>
    </w:p>
    <w:p>
      <w:pPr>
        <w:spacing w:after="100" w:before="0"/>
        <w:jc w:val="left"/>
      </w:pPr>
      <w:r>
        <w:rPr>
          <w:rFonts w:ascii="Times New Roman" w:cs="Times New Roman" w:eastAsia="Times New Roman" w:hAnsi="Times New Roman"/>
          <w:b w:val="false"/>
          <w:bCs w:val="false"/>
          <w:i w:val="false"/>
          <w:iCs w:val="false"/>
          <w:color w:val="000000"/>
          <w:sz w:val="24"/>
          <w:szCs w:val="24"/>
        </w:rPr>
        <w:t xml:space="preserve">[Company Name] will not export, re-export, transfer, provide, or disclose any item, technology, software, technical data, or defense service in violation of applicable U.S. export control law. No business objective — revenue, schedule, competitive advantage, or customer pressure — justifies non-compliance. Violations of this policy expose the company and individuals to significant civil and criminal penalties and may result in disciplinary action up to and including termination.</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This policy is mandatory for all employees, officers, directors, contractors, temporary staff, and agents of the company, regardless of location or business unit.</w:t>
      </w:r>
    </w:p>
    <w:p>
      <w:pPr>
        <w:pBdr>
          <w:bottom w:val="single" w:color="000000" w:sz="6" w:space="4"/>
        </w:pBdr>
        <w:spacing w:after="80" w:before="240"/>
      </w:pPr>
      <w:r>
        <w:rPr>
          <w:rFonts w:ascii="Times New Roman" w:cs="Times New Roman" w:eastAsia="Times New Roman" w:hAnsi="Times New Roman"/>
          <w:b/>
          <w:bCs/>
          <w:i w:val="false"/>
          <w:iCs w:val="false"/>
          <w:color w:val="000000"/>
          <w:sz w:val="24"/>
          <w:szCs w:val="24"/>
        </w:rPr>
        <w:t xml:space="preserve">2.  Scope</w:t>
      </w:r>
    </w:p>
    <w:p>
      <w:pPr>
        <w:spacing w:after="100" w:before="0"/>
        <w:jc w:val="left"/>
      </w:pPr>
      <w:r>
        <w:rPr>
          <w:rFonts w:ascii="Times New Roman" w:cs="Times New Roman" w:eastAsia="Times New Roman" w:hAnsi="Times New Roman"/>
          <w:b w:val="false"/>
          <w:bCs w:val="false"/>
          <w:i w:val="false"/>
          <w:iCs w:val="false"/>
          <w:color w:val="000000"/>
          <w:sz w:val="24"/>
          <w:szCs w:val="24"/>
        </w:rPr>
        <w:t xml:space="preserve">This policy applies to all company activities involving:</w:t>
      </w:r>
    </w:p>
    <w:p>
      <w:pPr>
        <w:pStyle w:val="ListParagraph"/>
        <w:numPr>
          <w:ilvl w:val="0"/>
          <w:numId w:val="1"/>
        </w:numPr>
        <w:spacing w:after="100" w:before="0"/>
        <w:ind w:left="720" w:hanging="360"/>
      </w:pPr>
      <w:r>
        <w:rPr>
          <w:rFonts w:ascii="Times New Roman" w:cs="Times New Roman" w:eastAsia="Times New Roman" w:hAnsi="Times New Roman"/>
          <w:b w:val="false"/>
          <w:bCs w:val="false"/>
          <w:i w:val="false"/>
          <w:iCs w:val="false"/>
          <w:color w:val="000000"/>
          <w:sz w:val="24"/>
          <w:szCs w:val="24"/>
        </w:rPr>
        <w:t xml:space="preserve">Physical exports, re-exports, and transfers of goods and equipment subject to U.S. jurisdiction;</w:t>
      </w:r>
    </w:p>
    <w:p>
      <w:pPr>
        <w:pStyle w:val="ListParagraph"/>
        <w:numPr>
          <w:ilvl w:val="0"/>
          <w:numId w:val="1"/>
        </w:numPr>
        <w:spacing w:after="100" w:before="0"/>
        <w:ind w:left="720" w:hanging="360"/>
      </w:pPr>
      <w:r>
        <w:rPr>
          <w:rFonts w:ascii="Times New Roman" w:cs="Times New Roman" w:eastAsia="Times New Roman" w:hAnsi="Times New Roman"/>
          <w:b w:val="false"/>
          <w:bCs w:val="false"/>
          <w:i w:val="false"/>
          <w:iCs w:val="false"/>
          <w:color w:val="000000"/>
          <w:sz w:val="24"/>
          <w:szCs w:val="24"/>
        </w:rPr>
        <w:t xml:space="preserve">Transfers of technical data, technology, and software by any means — including email, verbal disclosure, demonstration, shared drive access, cloud storage, and electronic systems;</w:t>
      </w:r>
    </w:p>
    <w:p>
      <w:pPr>
        <w:pStyle w:val="ListParagraph"/>
        <w:numPr>
          <w:ilvl w:val="0"/>
          <w:numId w:val="1"/>
        </w:numPr>
        <w:spacing w:after="100" w:before="0"/>
        <w:ind w:left="720" w:hanging="360"/>
      </w:pPr>
      <w:r>
        <w:rPr>
          <w:rFonts w:ascii="Times New Roman" w:cs="Times New Roman" w:eastAsia="Times New Roman" w:hAnsi="Times New Roman"/>
          <w:b w:val="false"/>
          <w:bCs w:val="false"/>
          <w:i w:val="false"/>
          <w:iCs w:val="false"/>
          <w:color w:val="000000"/>
          <w:sz w:val="24"/>
          <w:szCs w:val="24"/>
        </w:rPr>
        <w:t xml:space="preserve">Defense articles, technical data, and defense services controlled under the ITAR, whether exported physically or disclosed in the United States to a foreign national (deemed export);</w:t>
      </w:r>
    </w:p>
    <w:p>
      <w:pPr>
        <w:pStyle w:val="ListParagraph"/>
        <w:numPr>
          <w:ilvl w:val="0"/>
          <w:numId w:val="1"/>
        </w:numPr>
        <w:spacing w:after="100" w:before="0"/>
        <w:ind w:left="720" w:hanging="360"/>
      </w:pPr>
      <w:r>
        <w:rPr>
          <w:rFonts w:ascii="Times New Roman" w:cs="Times New Roman" w:eastAsia="Times New Roman" w:hAnsi="Times New Roman"/>
          <w:b w:val="false"/>
          <w:bCs w:val="false"/>
          <w:i w:val="false"/>
          <w:iCs w:val="false"/>
          <w:color w:val="000000"/>
          <w:sz w:val="24"/>
          <w:szCs w:val="24"/>
        </w:rPr>
        <w:t xml:space="preserve">Transactions involving sanctioned countries, entities, or individuals under any applicable OFAC sanctions program; and</w:t>
      </w:r>
    </w:p>
    <w:p>
      <w:pPr>
        <w:pStyle w:val="ListParagraph"/>
        <w:numPr>
          <w:ilvl w:val="0"/>
          <w:numId w:val="1"/>
        </w:numPr>
        <w:spacing w:after="100" w:before="0"/>
        <w:ind w:left="720" w:hanging="360"/>
      </w:pPr>
      <w:r>
        <w:rPr>
          <w:rFonts w:ascii="Times New Roman" w:cs="Times New Roman" w:eastAsia="Times New Roman" w:hAnsi="Times New Roman"/>
          <w:b w:val="false"/>
          <w:bCs w:val="false"/>
          <w:i w:val="false"/>
          <w:iCs w:val="false"/>
          <w:color w:val="000000"/>
          <w:sz w:val="24"/>
          <w:szCs w:val="24"/>
        </w:rPr>
        <w:t xml:space="preserve">All company personnel and agents globally.</w:t>
      </w:r>
    </w:p>
    <w:p>
      <w:pPr>
        <w:pBdr>
          <w:bottom w:val="single" w:color="000000" w:sz="6" w:space="4"/>
        </w:pBdr>
        <w:spacing w:after="80" w:before="240"/>
      </w:pPr>
      <w:r>
        <w:rPr>
          <w:rFonts w:ascii="Times New Roman" w:cs="Times New Roman" w:eastAsia="Times New Roman" w:hAnsi="Times New Roman"/>
          <w:b/>
          <w:bCs/>
          <w:i w:val="false"/>
          <w:iCs w:val="false"/>
          <w:color w:val="000000"/>
          <w:sz w:val="24"/>
          <w:szCs w:val="24"/>
        </w:rPr>
        <w:t xml:space="preserve">3.  Applicable Regulations</w:t>
      </w:r>
    </w:p>
    <w:p>
      <w:pPr>
        <w:spacing w:after="100" w:before="0"/>
        <w:jc w:val="left"/>
      </w:pPr>
      <w:r>
        <w:rPr>
          <w:rFonts w:ascii="Times New Roman" w:cs="Times New Roman" w:eastAsia="Times New Roman" w:hAnsi="Times New Roman"/>
          <w:b w:val="false"/>
          <w:bCs w:val="false"/>
          <w:i w:val="false"/>
          <w:iCs w:val="false"/>
          <w:color w:val="000000"/>
          <w:sz w:val="24"/>
          <w:szCs w:val="24"/>
        </w:rPr>
        <w:t xml:space="preserve">The company's export compliance obligations arise primarily from the following:</w:t>
      </w:r>
    </w:p>
    <w:p>
      <w:pPr>
        <w:spacing w:after="40" w:before="0"/>
        <w:jc w:val="left"/>
      </w:pPr>
      <w:r>
        <w:rPr>
          <w:rFonts w:ascii="Times New Roman" w:cs="Times New Roman" w:eastAsia="Times New Roman" w:hAnsi="Times New Roman"/>
          <w:b/>
          <w:bCs/>
          <w:i w:val="false"/>
          <w:iCs w:val="false"/>
          <w:color w:val="000000"/>
          <w:sz w:val="24"/>
          <w:szCs w:val="24"/>
        </w:rPr>
        <w:t xml:space="preserve">International Traffic in Arms Regulations (ITAR), 22 CFR Parts 120–130.</w:t>
      </w:r>
    </w:p>
    <w:p>
      <w:pPr>
        <w:spacing w:after="120" w:before="0"/>
        <w:ind w:left="360"/>
        <w:jc w:val="left"/>
      </w:pPr>
      <w:r>
        <w:rPr>
          <w:rFonts w:ascii="Times New Roman" w:cs="Times New Roman" w:eastAsia="Times New Roman" w:hAnsi="Times New Roman"/>
          <w:b w:val="false"/>
          <w:bCs w:val="false"/>
          <w:i w:val="false"/>
          <w:iCs w:val="false"/>
          <w:color w:val="000000"/>
          <w:sz w:val="24"/>
          <w:szCs w:val="24"/>
        </w:rPr>
        <w:t xml:space="preserve">Administered by the U.S. Department of State, Directorate of Defense Trade Controls (DDTC). Governs the export, re-export, temporary import, and brokering of defense articles, technical data, and defense services on the U.S. Munitions List (USML). Registration with DDTC is required for all manufacturers, exporters, and temporary importers of defense articles. An Empowered Official (EO) must be designated to sign all license applications and agreements submitted to DDTC.</w:t>
      </w:r>
    </w:p>
    <w:p>
      <w:pPr>
        <w:spacing w:after="40" w:before="0"/>
        <w:jc w:val="left"/>
      </w:pPr>
      <w:r>
        <w:rPr>
          <w:rFonts w:ascii="Times New Roman" w:cs="Times New Roman" w:eastAsia="Times New Roman" w:hAnsi="Times New Roman"/>
          <w:b/>
          <w:bCs/>
          <w:i w:val="false"/>
          <w:iCs w:val="false"/>
          <w:color w:val="000000"/>
          <w:sz w:val="24"/>
          <w:szCs w:val="24"/>
        </w:rPr>
        <w:t xml:space="preserve">Export Administration Regulations (EAR), 15 CFR Parts 730–774.</w:t>
      </w:r>
    </w:p>
    <w:p>
      <w:pPr>
        <w:spacing w:after="120" w:before="0"/>
        <w:ind w:left="360"/>
        <w:jc w:val="left"/>
      </w:pPr>
      <w:r>
        <w:rPr>
          <w:rFonts w:ascii="Times New Roman" w:cs="Times New Roman" w:eastAsia="Times New Roman" w:hAnsi="Times New Roman"/>
          <w:b w:val="false"/>
          <w:bCs w:val="false"/>
          <w:i w:val="false"/>
          <w:iCs w:val="false"/>
          <w:color w:val="000000"/>
          <w:sz w:val="24"/>
          <w:szCs w:val="24"/>
        </w:rPr>
        <w:t xml:space="preserve">Administered by the U.S. Department of Commerce, Bureau of Industry and Security (BIS). Governs dual-use items, software, and technology listed on the Commerce Control List (CCL) and EAR99 items. License requirements are determined by the item's Export Control Classification Number (ECCN), the destination country (Commerce Country Chart), the end use, and the end user. License exceptions may apply subject to the conditions in Part 740 and any item-specific restrictions in the CCL.</w:t>
      </w:r>
    </w:p>
    <w:p>
      <w:pPr>
        <w:spacing w:after="40" w:before="0"/>
        <w:jc w:val="left"/>
      </w:pPr>
      <w:r>
        <w:rPr>
          <w:rFonts w:ascii="Times New Roman" w:cs="Times New Roman" w:eastAsia="Times New Roman" w:hAnsi="Times New Roman"/>
          <w:b/>
          <w:bCs/>
          <w:i w:val="false"/>
          <w:iCs w:val="false"/>
          <w:color w:val="000000"/>
          <w:sz w:val="24"/>
          <w:szCs w:val="24"/>
        </w:rPr>
        <w:t xml:space="preserve">OFAC Sanctions Regulations, 31 CFR.</w:t>
      </w:r>
    </w:p>
    <w:p>
      <w:pPr>
        <w:spacing w:after="120" w:before="0"/>
        <w:ind w:left="360"/>
        <w:jc w:val="left"/>
      </w:pPr>
      <w:r>
        <w:rPr>
          <w:rFonts w:ascii="Times New Roman" w:cs="Times New Roman" w:eastAsia="Times New Roman" w:hAnsi="Times New Roman"/>
          <w:b w:val="false"/>
          <w:bCs w:val="false"/>
          <w:i w:val="false"/>
          <w:iCs w:val="false"/>
          <w:color w:val="000000"/>
          <w:sz w:val="24"/>
          <w:szCs w:val="24"/>
        </w:rPr>
        <w:t xml:space="preserve">Administered by the U.S. Department of the Treasury, Office of Foreign Assets Control (OFAC). Governs transactions with sanctioned countries, entities, and individuals under comprehensive and targeted sanctions programs. Prohibitions apply to U.S. persons and, in certain programs, to foreign entities that conduct transactions in or with the United States or involving U.S.-origin goods or services. OFAC also administers the Specially Designated Nationals and Blocked Persons List (SDN List).</w:t>
      </w:r>
    </w:p>
    <w:p>
      <w:pPr>
        <w:spacing w:after="40" w:before="0"/>
        <w:jc w:val="left"/>
      </w:pPr>
      <w:r>
        <w:rPr>
          <w:rFonts w:ascii="Times New Roman" w:cs="Times New Roman" w:eastAsia="Times New Roman" w:hAnsi="Times New Roman"/>
          <w:b/>
          <w:bCs/>
          <w:i w:val="false"/>
          <w:iCs w:val="false"/>
          <w:color w:val="000000"/>
          <w:sz w:val="24"/>
          <w:szCs w:val="24"/>
        </w:rPr>
        <w:t xml:space="preserve">Foreign Trade Regulations (FTR), 15 CFR Part 30.</w:t>
      </w:r>
    </w:p>
    <w:p>
      <w:pPr>
        <w:spacing w:after="80" w:before="0"/>
        <w:ind w:left="360"/>
        <w:jc w:val="left"/>
      </w:pPr>
      <w:r>
        <w:rPr>
          <w:rFonts w:ascii="Times New Roman" w:cs="Times New Roman" w:eastAsia="Times New Roman" w:hAnsi="Times New Roman"/>
          <w:b w:val="false"/>
          <w:bCs w:val="false"/>
          <w:i w:val="false"/>
          <w:iCs w:val="false"/>
          <w:color w:val="000000"/>
          <w:sz w:val="24"/>
          <w:szCs w:val="24"/>
        </w:rPr>
        <w:t xml:space="preserve">Administered by the U.S. Census Bureau in coordination with CBP. Governs the filing of Electronic Export Information (EEI) in the Automated Export System (AES) for exports meeting applicable thresholds. Proper commodity classification, Schedule B numbers, and license citations are required in EEI filings.</w:t>
      </w:r>
    </w:p>
    <w:p>
      <w:pPr>
        <w:pBdr>
          <w:bottom w:val="single" w:color="000000" w:sz="6" w:space="4"/>
        </w:pBdr>
        <w:spacing w:after="80" w:before="240"/>
      </w:pPr>
      <w:r>
        <w:rPr>
          <w:rFonts w:ascii="Times New Roman" w:cs="Times New Roman" w:eastAsia="Times New Roman" w:hAnsi="Times New Roman"/>
          <w:b/>
          <w:bCs/>
          <w:i w:val="false"/>
          <w:iCs w:val="false"/>
          <w:color w:val="000000"/>
          <w:sz w:val="24"/>
          <w:szCs w:val="24"/>
        </w:rPr>
        <w:t xml:space="preserve">4.  Prohibited Activities</w:t>
      </w:r>
    </w:p>
    <w:p>
      <w:pPr>
        <w:spacing w:after="100" w:before="0"/>
        <w:jc w:val="left"/>
      </w:pPr>
      <w:r>
        <w:rPr>
          <w:rFonts w:ascii="Times New Roman" w:cs="Times New Roman" w:eastAsia="Times New Roman" w:hAnsi="Times New Roman"/>
          <w:b w:val="false"/>
          <w:bCs w:val="false"/>
          <w:i w:val="false"/>
          <w:iCs w:val="false"/>
          <w:color w:val="000000"/>
          <w:sz w:val="24"/>
          <w:szCs w:val="24"/>
        </w:rPr>
        <w:t xml:space="preserve">Without the required authorization, the company shall not:</w:t>
      </w:r>
    </w:p>
    <w:p>
      <w:pPr>
        <w:pStyle w:val="ListParagraph"/>
        <w:numPr>
          <w:ilvl w:val="0"/>
          <w:numId w:val="1"/>
        </w:numPr>
        <w:spacing w:after="100" w:before="0"/>
        <w:ind w:left="720" w:hanging="360"/>
      </w:pPr>
      <w:r>
        <w:rPr>
          <w:rFonts w:ascii="Times New Roman" w:cs="Times New Roman" w:eastAsia="Times New Roman" w:hAnsi="Times New Roman"/>
          <w:b w:val="false"/>
          <w:bCs w:val="false"/>
          <w:i w:val="false"/>
          <w:iCs w:val="false"/>
          <w:color w:val="000000"/>
          <w:sz w:val="24"/>
          <w:szCs w:val="24"/>
        </w:rPr>
        <w:t xml:space="preserve">Export, re-export, or transfer any ITAR-controlled defense article, technical data, or defense service without a DDTC license, approved agreement (TAA, MLA, WDA), or applicable ITAR exemption;</w:t>
      </w:r>
    </w:p>
    <w:p>
      <w:pPr>
        <w:pStyle w:val="ListParagraph"/>
        <w:numPr>
          <w:ilvl w:val="0"/>
          <w:numId w:val="1"/>
        </w:numPr>
        <w:spacing w:after="100" w:before="0"/>
        <w:ind w:left="720" w:hanging="360"/>
      </w:pPr>
      <w:r>
        <w:rPr>
          <w:rFonts w:ascii="Times New Roman" w:cs="Times New Roman" w:eastAsia="Times New Roman" w:hAnsi="Times New Roman"/>
          <w:b w:val="false"/>
          <w:bCs w:val="false"/>
          <w:i w:val="false"/>
          <w:iCs w:val="false"/>
          <w:color w:val="000000"/>
          <w:sz w:val="24"/>
          <w:szCs w:val="24"/>
        </w:rPr>
        <w:t xml:space="preserve">Export, re-export, or transfer any EAR-controlled item without a BIS license or applicable license exception, where a license is required under the Commerce Country Chart or Part 744/746 controls;</w:t>
      </w:r>
    </w:p>
    <w:p>
      <w:pPr>
        <w:pStyle w:val="ListParagraph"/>
        <w:numPr>
          <w:ilvl w:val="0"/>
          <w:numId w:val="1"/>
        </w:numPr>
        <w:spacing w:after="100" w:before="0"/>
        <w:ind w:left="720" w:hanging="360"/>
      </w:pPr>
      <w:r>
        <w:rPr>
          <w:rFonts w:ascii="Times New Roman" w:cs="Times New Roman" w:eastAsia="Times New Roman" w:hAnsi="Times New Roman"/>
          <w:b w:val="false"/>
          <w:bCs w:val="false"/>
          <w:i w:val="false"/>
          <w:iCs w:val="false"/>
          <w:color w:val="000000"/>
          <w:sz w:val="24"/>
          <w:szCs w:val="24"/>
        </w:rPr>
        <w:t xml:space="preserve">Release or transfer controlled technical data or technology to a foreign national in the United States without the required authorization (deemed export);</w:t>
      </w:r>
    </w:p>
    <w:p>
      <w:pPr>
        <w:pStyle w:val="ListParagraph"/>
        <w:numPr>
          <w:ilvl w:val="0"/>
          <w:numId w:val="1"/>
        </w:numPr>
        <w:spacing w:after="100" w:before="0"/>
        <w:ind w:left="720" w:hanging="360"/>
      </w:pPr>
      <w:r>
        <w:rPr>
          <w:rFonts w:ascii="Times New Roman" w:cs="Times New Roman" w:eastAsia="Times New Roman" w:hAnsi="Times New Roman"/>
          <w:b w:val="false"/>
          <w:bCs w:val="false"/>
          <w:i w:val="false"/>
          <w:iCs w:val="false"/>
          <w:color w:val="000000"/>
          <w:sz w:val="24"/>
          <w:szCs w:val="24"/>
        </w:rPr>
        <w:t xml:space="preserve">Transact with any person or entity on a U.S. government restricted party list, including the SDN List, DDTC Debarred List, BIS Entity List, BIS Military End-User List, or Unverified List;</w:t>
      </w:r>
    </w:p>
    <w:p>
      <w:pPr>
        <w:pStyle w:val="ListParagraph"/>
        <w:numPr>
          <w:ilvl w:val="0"/>
          <w:numId w:val="1"/>
        </w:numPr>
        <w:spacing w:after="100" w:before="0"/>
        <w:ind w:left="720" w:hanging="360"/>
      </w:pPr>
      <w:r>
        <w:rPr>
          <w:rFonts w:ascii="Times New Roman" w:cs="Times New Roman" w:eastAsia="Times New Roman" w:hAnsi="Times New Roman"/>
          <w:b w:val="false"/>
          <w:bCs w:val="false"/>
          <w:i w:val="false"/>
          <w:iCs w:val="false"/>
          <w:color w:val="000000"/>
          <w:sz w:val="24"/>
          <w:szCs w:val="24"/>
        </w:rPr>
        <w:t xml:space="preserve">Conduct any transaction prohibited by an applicable OFAC comprehensive or targeted sanctions program;</w:t>
      </w:r>
    </w:p>
    <w:p>
      <w:pPr>
        <w:pStyle w:val="ListParagraph"/>
        <w:numPr>
          <w:ilvl w:val="0"/>
          <w:numId w:val="1"/>
        </w:numPr>
        <w:spacing w:after="100" w:before="0"/>
        <w:ind w:left="720" w:hanging="360"/>
      </w:pPr>
      <w:r>
        <w:rPr>
          <w:rFonts w:ascii="Times New Roman" w:cs="Times New Roman" w:eastAsia="Times New Roman" w:hAnsi="Times New Roman"/>
          <w:b w:val="false"/>
          <w:bCs w:val="false"/>
          <w:i w:val="false"/>
          <w:iCs w:val="false"/>
          <w:color w:val="000000"/>
          <w:sz w:val="24"/>
          <w:szCs w:val="24"/>
        </w:rPr>
        <w:t xml:space="preserve">Facilitate a transaction by a third party that the company has reason to believe would violate any applicable export control law; or</w:t>
      </w:r>
    </w:p>
    <w:p>
      <w:pPr>
        <w:pStyle w:val="ListParagraph"/>
        <w:numPr>
          <w:ilvl w:val="0"/>
          <w:numId w:val="1"/>
        </w:numPr>
        <w:spacing w:after="100" w:before="0"/>
        <w:ind w:left="720" w:hanging="360"/>
      </w:pPr>
      <w:r>
        <w:rPr>
          <w:rFonts w:ascii="Times New Roman" w:cs="Times New Roman" w:eastAsia="Times New Roman" w:hAnsi="Times New Roman"/>
          <w:b w:val="false"/>
          <w:bCs w:val="false"/>
          <w:i w:val="false"/>
          <w:iCs w:val="false"/>
          <w:color w:val="000000"/>
          <w:sz w:val="24"/>
          <w:szCs w:val="24"/>
        </w:rPr>
        <w:t xml:space="preserve">Submit false, inaccurate, or misleading information in any export filing, license application, exemption determination, or communication with a U.S. government agency.</w:t>
      </w:r>
    </w:p>
    <w:p>
      <w:pPr>
        <w:pBdr>
          <w:bottom w:val="single" w:color="000000" w:sz="6" w:space="4"/>
        </w:pBdr>
        <w:spacing w:after="80" w:before="240"/>
      </w:pPr>
      <w:r>
        <w:rPr>
          <w:rFonts w:ascii="Times New Roman" w:cs="Times New Roman" w:eastAsia="Times New Roman" w:hAnsi="Times New Roman"/>
          <w:b/>
          <w:bCs/>
          <w:i w:val="false"/>
          <w:iCs w:val="false"/>
          <w:color w:val="000000"/>
          <w:sz w:val="24"/>
          <w:szCs w:val="24"/>
        </w:rPr>
        <w:t xml:space="preserve">5.  Classification and Jurisdiction Determination</w:t>
      </w:r>
    </w:p>
    <w:p>
      <w:pPr>
        <w:spacing w:after="100" w:before="0"/>
        <w:jc w:val="left"/>
      </w:pPr>
      <w:r>
        <w:rPr>
          <w:rFonts w:ascii="Times New Roman" w:cs="Times New Roman" w:eastAsia="Times New Roman" w:hAnsi="Times New Roman"/>
          <w:b w:val="false"/>
          <w:bCs w:val="false"/>
          <w:i w:val="false"/>
          <w:iCs w:val="false"/>
          <w:color w:val="000000"/>
          <w:sz w:val="24"/>
          <w:szCs w:val="24"/>
        </w:rPr>
        <w:t xml:space="preserve">The company will maintain documented classification records for all products, software, and technologies it manufactures, sells, or transfers. The classification process must determine:</w:t>
      </w:r>
    </w:p>
    <w:p>
      <w:pPr>
        <w:pStyle w:val="ListParagraph"/>
        <w:numPr>
          <w:ilvl w:val="0"/>
          <w:numId w:val="1"/>
        </w:numPr>
        <w:spacing w:after="100" w:before="0"/>
        <w:ind w:left="720" w:hanging="360"/>
      </w:pPr>
      <w:r>
        <w:rPr>
          <w:rFonts w:ascii="Times New Roman" w:cs="Times New Roman" w:eastAsia="Times New Roman" w:hAnsi="Times New Roman"/>
          <w:b w:val="false"/>
          <w:bCs w:val="false"/>
          <w:i w:val="false"/>
          <w:iCs w:val="false"/>
          <w:color w:val="000000"/>
          <w:sz w:val="24"/>
          <w:szCs w:val="24"/>
        </w:rPr>
        <w:t xml:space="preserve">Whether the item is subject to the ITAR (USML), the EAR (CCL or EAR99), or neither;</w:t>
      </w:r>
    </w:p>
    <w:p>
      <w:pPr>
        <w:pStyle w:val="ListParagraph"/>
        <w:numPr>
          <w:ilvl w:val="0"/>
          <w:numId w:val="1"/>
        </w:numPr>
        <w:spacing w:after="100" w:before="0"/>
        <w:ind w:left="720" w:hanging="360"/>
      </w:pPr>
      <w:r>
        <w:rPr>
          <w:rFonts w:ascii="Times New Roman" w:cs="Times New Roman" w:eastAsia="Times New Roman" w:hAnsi="Times New Roman"/>
          <w:b w:val="false"/>
          <w:bCs w:val="false"/>
          <w:i w:val="false"/>
          <w:iCs w:val="false"/>
          <w:color w:val="000000"/>
          <w:sz w:val="24"/>
          <w:szCs w:val="24"/>
        </w:rPr>
        <w:t xml:space="preserve">If subject to the EAR, the applicable ECCN or EAR99 designation; and</w:t>
      </w:r>
    </w:p>
    <w:p>
      <w:pPr>
        <w:pStyle w:val="ListParagraph"/>
        <w:numPr>
          <w:ilvl w:val="0"/>
          <w:numId w:val="1"/>
        </w:numPr>
        <w:spacing w:after="100" w:before="0"/>
        <w:ind w:left="720" w:hanging="360"/>
      </w:pPr>
      <w:r>
        <w:rPr>
          <w:rFonts w:ascii="Times New Roman" w:cs="Times New Roman" w:eastAsia="Times New Roman" w:hAnsi="Times New Roman"/>
          <w:b w:val="false"/>
          <w:bCs w:val="false"/>
          <w:i w:val="false"/>
          <w:iCs w:val="false"/>
          <w:color w:val="000000"/>
          <w:sz w:val="24"/>
          <w:szCs w:val="24"/>
        </w:rPr>
        <w:t xml:space="preserve">Whether the item triggers any end-use or end-user controls under EAR Part 744, Part 746 country controls, or ITAR-specific restrictions.</w:t>
      </w:r>
    </w:p>
    <w:p>
      <w:pPr>
        <w:spacing w:after="80" w:before="0"/>
        <w:ind w:left="360"/>
        <w:jc w:val="left"/>
      </w:pPr>
      <w:r>
        <w:rPr>
          <w:rFonts w:ascii="Times New Roman" w:cs="Times New Roman" w:eastAsia="Times New Roman" w:hAnsi="Times New Roman"/>
          <w:b w:val="false"/>
          <w:bCs w:val="false"/>
          <w:i w:val="false"/>
          <w:iCs w:val="false"/>
          <w:color w:val="000000"/>
          <w:sz w:val="24"/>
          <w:szCs w:val="24"/>
        </w:rPr>
        <w:t xml:space="preserve">Classification determinations must be documented, dated, and signed by a qualified reviewer. Where uncertainty exists, a Commodity Jurisdiction (CJ) request may be submitted to DDTC (Form DS-4076) or a classification request to BIS. Classifications must be reviewed and updated when the item design, regulatory controls, or applicable CCL entries change.</w:t>
      </w:r>
    </w:p>
    <w:p>
      <w:pPr>
        <w:pBdr>
          <w:bottom w:val="single" w:color="000000" w:sz="6" w:space="4"/>
        </w:pBdr>
        <w:spacing w:after="80" w:before="240"/>
      </w:pPr>
      <w:r>
        <w:rPr>
          <w:rFonts w:ascii="Times New Roman" w:cs="Times New Roman" w:eastAsia="Times New Roman" w:hAnsi="Times New Roman"/>
          <w:b/>
          <w:bCs/>
          <w:i w:val="false"/>
          <w:iCs w:val="false"/>
          <w:color w:val="000000"/>
          <w:sz w:val="24"/>
          <w:szCs w:val="24"/>
        </w:rPr>
        <w:t xml:space="preserve">6.  License Determination</w:t>
      </w:r>
    </w:p>
    <w:p>
      <w:pPr>
        <w:spacing w:after="100" w:before="0"/>
        <w:jc w:val="left"/>
      </w:pPr>
      <w:r>
        <w:rPr>
          <w:rFonts w:ascii="Times New Roman" w:cs="Times New Roman" w:eastAsia="Times New Roman" w:hAnsi="Times New Roman"/>
          <w:b w:val="false"/>
          <w:bCs w:val="false"/>
          <w:i w:val="false"/>
          <w:iCs w:val="false"/>
          <w:color w:val="000000"/>
          <w:sz w:val="24"/>
          <w:szCs w:val="24"/>
        </w:rPr>
        <w:t xml:space="preserve">Before any export, re-export, or transfer, the responsible party must determine the applicable authorization.</w:t>
      </w:r>
    </w:p>
    <w:p>
      <w:pPr>
        <w:spacing w:after="100" w:before="0"/>
        <w:jc w:val="left"/>
      </w:pPr>
      <w:r>
        <w:rPr>
          <w:rFonts w:ascii="Times New Roman" w:cs="Times New Roman" w:eastAsia="Times New Roman" w:hAnsi="Times New Roman"/>
          <w:b/>
          <w:bCs/>
          <w:i w:val="false"/>
          <w:iCs w:val="false"/>
          <w:color w:val="000000"/>
          <w:sz w:val="24"/>
          <w:szCs w:val="24"/>
        </w:rPr>
        <w:t xml:space="preserve">EAR path: </w:t>
      </w:r>
      <w:r>
        <w:rPr>
          <w:rFonts w:ascii="Times New Roman" w:cs="Times New Roman" w:eastAsia="Times New Roman" w:hAnsi="Times New Roman"/>
          <w:b w:val="false"/>
          <w:bCs w:val="false"/>
          <w:i w:val="false"/>
          <w:iCs w:val="false"/>
          <w:color w:val="000000"/>
          <w:sz w:val="24"/>
          <w:szCs w:val="24"/>
        </w:rPr>
        <w:t xml:space="preserve">Confirm classification → check Commerce Country Chart for license requirement → determine whether No License Required (NLR) applies → if not, evaluate applicable license exceptions under Part 740 and check restrictions under 15 CFR 740.2 → if no exception applies, obtain BIS license.</w:t>
      </w:r>
    </w:p>
    <w:p>
      <w:pPr>
        <w:spacing w:after="100" w:before="0"/>
        <w:jc w:val="left"/>
      </w:pPr>
      <w:r>
        <w:rPr>
          <w:rFonts w:ascii="Times New Roman" w:cs="Times New Roman" w:eastAsia="Times New Roman" w:hAnsi="Times New Roman"/>
          <w:b/>
          <w:bCs/>
          <w:i w:val="false"/>
          <w:iCs w:val="false"/>
          <w:color w:val="000000"/>
          <w:sz w:val="24"/>
          <w:szCs w:val="24"/>
        </w:rPr>
        <w:t xml:space="preserve">ITAR path: </w:t>
      </w:r>
      <w:r>
        <w:rPr>
          <w:rFonts w:ascii="Times New Roman" w:cs="Times New Roman" w:eastAsia="Times New Roman" w:hAnsi="Times New Roman"/>
          <w:b w:val="false"/>
          <w:bCs w:val="false"/>
          <w:i w:val="false"/>
          <w:iCs w:val="false"/>
          <w:color w:val="000000"/>
          <w:sz w:val="24"/>
          <w:szCs w:val="24"/>
        </w:rPr>
        <w:t xml:space="preserve">Confirm USML classification → determine applicable ITAR exemption (22 CFR 123–126) → if no exemption, select appropriate DDTC license form (DSP-5, DSP-61, DSP-73, or DSP-85) or agreement type (TAA, MLA, or WDA) → Empowered Official signs and submits to DDTC.</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All license determinations, exemption analyses, and exception claims must be documented in the transaction file and retained for a minimum of five years.</w:t>
      </w:r>
    </w:p>
    <w:p>
      <w:pPr>
        <w:pBdr>
          <w:bottom w:val="single" w:color="000000" w:sz="6" w:space="4"/>
        </w:pBdr>
        <w:spacing w:after="80" w:before="240"/>
      </w:pPr>
      <w:r>
        <w:rPr>
          <w:rFonts w:ascii="Times New Roman" w:cs="Times New Roman" w:eastAsia="Times New Roman" w:hAnsi="Times New Roman"/>
          <w:b/>
          <w:bCs/>
          <w:i w:val="false"/>
          <w:iCs w:val="false"/>
          <w:color w:val="000000"/>
          <w:sz w:val="24"/>
          <w:szCs w:val="24"/>
        </w:rPr>
        <w:t xml:space="preserve">7.  Denied Party Screening</w:t>
      </w:r>
    </w:p>
    <w:p>
      <w:pPr>
        <w:spacing w:after="100" w:before="0"/>
        <w:jc w:val="left"/>
      </w:pPr>
      <w:r>
        <w:rPr>
          <w:rFonts w:ascii="Times New Roman" w:cs="Times New Roman" w:eastAsia="Times New Roman" w:hAnsi="Times New Roman"/>
          <w:b w:val="false"/>
          <w:bCs w:val="false"/>
          <w:i w:val="false"/>
          <w:iCs w:val="false"/>
          <w:color w:val="000000"/>
          <w:sz w:val="24"/>
          <w:szCs w:val="24"/>
        </w:rPr>
        <w:t xml:space="preserve">The company will screen all new business relationships — customers, suppliers, distributors, freight forwarders, and any other party to an export transaction — against applicable U.S. government restricted party lists before the first transaction. Screening must be repeated periodically and upon any material change in the relationship.</w:t>
      </w:r>
    </w:p>
    <w:p>
      <w:pPr>
        <w:spacing w:after="100" w:before="0"/>
        <w:jc w:val="left"/>
      </w:pPr>
      <w:r>
        <w:rPr>
          <w:rFonts w:ascii="Times New Roman" w:cs="Times New Roman" w:eastAsia="Times New Roman" w:hAnsi="Times New Roman"/>
          <w:b w:val="false"/>
          <w:bCs w:val="false"/>
          <w:i w:val="false"/>
          <w:iCs w:val="false"/>
          <w:color w:val="000000"/>
          <w:sz w:val="24"/>
          <w:szCs w:val="24"/>
        </w:rPr>
        <w:t xml:space="preserve">Lists checked must include, at minimum: the OFAC SDN List, DDTC Debarred List, BIS Entity List, BIS Military End-User List, BIS Unverified List, and applicable OFAC non-SDN lists.</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All screening results, including the disposition of potential matches (hit resolution), must be documented and retained. Where a potential match cannot be resolved, the transaction must be held and escalated to the Export Compliance Officer and Legal Counsel before proceeding.</w:t>
      </w:r>
    </w:p>
    <w:p>
      <w:pPr>
        <w:pBdr>
          <w:bottom w:val="single" w:color="000000" w:sz="6" w:space="4"/>
        </w:pBdr>
        <w:spacing w:after="80" w:before="240"/>
      </w:pPr>
      <w:r>
        <w:rPr>
          <w:rFonts w:ascii="Times New Roman" w:cs="Times New Roman" w:eastAsia="Times New Roman" w:hAnsi="Times New Roman"/>
          <w:b/>
          <w:bCs/>
          <w:i w:val="false"/>
          <w:iCs w:val="false"/>
          <w:color w:val="000000"/>
          <w:sz w:val="24"/>
          <w:szCs w:val="24"/>
        </w:rPr>
        <w:t xml:space="preserve">8.  Roles and Responsibilities</w:t>
      </w:r>
    </w:p>
    <w:p>
      <w:pPr>
        <w:spacing w:after="100" w:before="0"/>
        <w:jc w:val="left"/>
      </w:pPr>
      <w:r>
        <w:rPr>
          <w:rFonts w:ascii="Times New Roman" w:cs="Times New Roman" w:eastAsia="Times New Roman" w:hAnsi="Times New Roman"/>
          <w:b/>
          <w:bCs/>
          <w:i w:val="false"/>
          <w:iCs w:val="false"/>
          <w:color w:val="000000"/>
          <w:sz w:val="24"/>
          <w:szCs w:val="24"/>
        </w:rPr>
        <w:t xml:space="preserve">Export Compliance Officer (ECO). </w:t>
      </w:r>
      <w:r>
        <w:rPr>
          <w:rFonts w:ascii="Times New Roman" w:cs="Times New Roman" w:eastAsia="Times New Roman" w:hAnsi="Times New Roman"/>
          <w:b w:val="false"/>
          <w:bCs w:val="false"/>
          <w:i w:val="false"/>
          <w:iCs w:val="false"/>
          <w:color w:val="000000"/>
          <w:sz w:val="24"/>
          <w:szCs w:val="24"/>
        </w:rPr>
        <w:t xml:space="preserve">Administer and maintain the Export Compliance Program; serve as primary point of contact for regulatory matters; maintain current knowledge of ITAR, EAR, and OFAC requirements; review and approve license applications, exemption determinations, and exception analyses; coordinate with Legal Counsel on complex transactions; ensure training program is current.</w:t>
      </w:r>
    </w:p>
    <w:p>
      <w:pPr>
        <w:spacing w:after="100" w:before="0"/>
        <w:jc w:val="left"/>
      </w:pPr>
      <w:r>
        <w:rPr>
          <w:rFonts w:ascii="Times New Roman" w:cs="Times New Roman" w:eastAsia="Times New Roman" w:hAnsi="Times New Roman"/>
          <w:b/>
          <w:bCs/>
          <w:i w:val="false"/>
          <w:iCs w:val="false"/>
          <w:color w:val="000000"/>
          <w:sz w:val="24"/>
          <w:szCs w:val="24"/>
        </w:rPr>
        <w:t xml:space="preserve">Empowered Official(s) — ITAR companies. </w:t>
      </w:r>
      <w:r>
        <w:rPr>
          <w:rFonts w:ascii="Times New Roman" w:cs="Times New Roman" w:eastAsia="Times New Roman" w:hAnsi="Times New Roman"/>
          <w:b w:val="false"/>
          <w:bCs w:val="false"/>
          <w:i w:val="false"/>
          <w:iCs w:val="false"/>
          <w:color w:val="000000"/>
          <w:sz w:val="24"/>
          <w:szCs w:val="24"/>
        </w:rPr>
        <w:t xml:space="preserve">Sign all ITAR license applications, agreement applications, and DDTC submissions on behalf of the company; certify accuracy of information submitted; maintain active ITAR registration; notify DDTC of material changes within 5 business days.</w:t>
      </w:r>
    </w:p>
    <w:p>
      <w:pPr>
        <w:spacing w:after="100" w:before="0"/>
        <w:jc w:val="left"/>
      </w:pPr>
      <w:r>
        <w:rPr>
          <w:rFonts w:ascii="Times New Roman" w:cs="Times New Roman" w:eastAsia="Times New Roman" w:hAnsi="Times New Roman"/>
          <w:b/>
          <w:bCs/>
          <w:i w:val="false"/>
          <w:iCs w:val="false"/>
          <w:color w:val="000000"/>
          <w:sz w:val="24"/>
          <w:szCs w:val="24"/>
        </w:rPr>
        <w:t xml:space="preserve">Senior Management. </w:t>
      </w:r>
      <w:r>
        <w:rPr>
          <w:rFonts w:ascii="Times New Roman" w:cs="Times New Roman" w:eastAsia="Times New Roman" w:hAnsi="Times New Roman"/>
          <w:b w:val="false"/>
          <w:bCs w:val="false"/>
          <w:i w:val="false"/>
          <w:iCs w:val="false"/>
          <w:color w:val="000000"/>
          <w:sz w:val="24"/>
          <w:szCs w:val="24"/>
        </w:rPr>
        <w:t xml:space="preserve">Provide resources, authority, and organizational support for the compliance program; approve material policy changes; review compliance performance at least annually.</w:t>
      </w:r>
    </w:p>
    <w:p>
      <w:pPr>
        <w:spacing w:after="100" w:before="0"/>
        <w:jc w:val="left"/>
      </w:pPr>
      <w:r>
        <w:rPr>
          <w:rFonts w:ascii="Times New Roman" w:cs="Times New Roman" w:eastAsia="Times New Roman" w:hAnsi="Times New Roman"/>
          <w:b/>
          <w:bCs/>
          <w:i w:val="false"/>
          <w:iCs w:val="false"/>
          <w:color w:val="000000"/>
          <w:sz w:val="24"/>
          <w:szCs w:val="24"/>
        </w:rPr>
        <w:t xml:space="preserve">All Employees. </w:t>
      </w:r>
      <w:r>
        <w:rPr>
          <w:rFonts w:ascii="Times New Roman" w:cs="Times New Roman" w:eastAsia="Times New Roman" w:hAnsi="Times New Roman"/>
          <w:b w:val="false"/>
          <w:bCs w:val="false"/>
          <w:i w:val="false"/>
          <w:iCs w:val="false"/>
          <w:color w:val="000000"/>
          <w:sz w:val="24"/>
          <w:szCs w:val="24"/>
        </w:rPr>
        <w:t xml:space="preserve">Complete required export compliance training; follow the company's written compliance procedures; report any known or suspected violation to the ECO immediately.</w:t>
      </w:r>
    </w:p>
    <w:p>
      <w:pPr>
        <w:spacing w:after="80" w:before="0"/>
        <w:jc w:val="left"/>
      </w:pPr>
      <w:r>
        <w:rPr>
          <w:rFonts w:ascii="Times New Roman" w:cs="Times New Roman" w:eastAsia="Times New Roman" w:hAnsi="Times New Roman"/>
          <w:b/>
          <w:bCs/>
          <w:i w:val="false"/>
          <w:iCs w:val="false"/>
          <w:color w:val="000000"/>
          <w:sz w:val="24"/>
          <w:szCs w:val="24"/>
        </w:rPr>
        <w:t xml:space="preserve">Legal Counsel. </w:t>
      </w:r>
      <w:r>
        <w:rPr>
          <w:rFonts w:ascii="Times New Roman" w:cs="Times New Roman" w:eastAsia="Times New Roman" w:hAnsi="Times New Roman"/>
          <w:b w:val="false"/>
          <w:bCs w:val="false"/>
          <w:i w:val="false"/>
          <w:iCs w:val="false"/>
          <w:color w:val="000000"/>
          <w:sz w:val="24"/>
          <w:szCs w:val="24"/>
        </w:rPr>
        <w:t xml:space="preserve">Advise on complex or novel transactions; oversee voluntary self-disclosure submissions; conduct or direct privileged compliance audits.</w:t>
      </w:r>
    </w:p>
    <w:p>
      <w:pPr>
        <w:pBdr>
          <w:bottom w:val="single" w:color="000000" w:sz="6" w:space="4"/>
        </w:pBdr>
        <w:spacing w:after="80" w:before="240"/>
      </w:pPr>
      <w:r>
        <w:rPr>
          <w:rFonts w:ascii="Times New Roman" w:cs="Times New Roman" w:eastAsia="Times New Roman" w:hAnsi="Times New Roman"/>
          <w:b/>
          <w:bCs/>
          <w:i w:val="false"/>
          <w:iCs w:val="false"/>
          <w:color w:val="000000"/>
          <w:sz w:val="24"/>
          <w:szCs w:val="24"/>
        </w:rPr>
        <w:t xml:space="preserve">9.  Training</w:t>
      </w:r>
    </w:p>
    <w:p>
      <w:pPr>
        <w:spacing w:after="100" w:before="0"/>
        <w:jc w:val="left"/>
      </w:pPr>
      <w:r>
        <w:rPr>
          <w:rFonts w:ascii="Times New Roman" w:cs="Times New Roman" w:eastAsia="Times New Roman" w:hAnsi="Times New Roman"/>
          <w:b w:val="false"/>
          <w:bCs w:val="false"/>
          <w:i w:val="false"/>
          <w:iCs w:val="false"/>
          <w:color w:val="000000"/>
          <w:sz w:val="24"/>
          <w:szCs w:val="24"/>
        </w:rPr>
        <w:t xml:space="preserve">All employees with export-related duties must complete export compliance training before handling controlled items, data, or transactions. Training must cover, at minimum:</w:t>
      </w:r>
    </w:p>
    <w:p>
      <w:pPr>
        <w:pStyle w:val="ListParagraph"/>
        <w:numPr>
          <w:ilvl w:val="0"/>
          <w:numId w:val="1"/>
        </w:numPr>
        <w:spacing w:after="100" w:before="0"/>
        <w:ind w:left="720" w:hanging="360"/>
      </w:pPr>
      <w:r>
        <w:rPr>
          <w:rFonts w:ascii="Times New Roman" w:cs="Times New Roman" w:eastAsia="Times New Roman" w:hAnsi="Times New Roman"/>
          <w:b w:val="false"/>
          <w:bCs w:val="false"/>
          <w:i w:val="false"/>
          <w:iCs w:val="false"/>
          <w:color w:val="000000"/>
          <w:sz w:val="24"/>
          <w:szCs w:val="24"/>
        </w:rPr>
        <w:t xml:space="preserve">Overview of applicable regulations (ITAR, EAR, OFAC) and the company's compliance obligations;</w:t>
      </w:r>
    </w:p>
    <w:p>
      <w:pPr>
        <w:pStyle w:val="ListParagraph"/>
        <w:numPr>
          <w:ilvl w:val="0"/>
          <w:numId w:val="1"/>
        </w:numPr>
        <w:spacing w:after="100" w:before="0"/>
        <w:ind w:left="720" w:hanging="360"/>
      </w:pPr>
      <w:r>
        <w:rPr>
          <w:rFonts w:ascii="Times New Roman" w:cs="Times New Roman" w:eastAsia="Times New Roman" w:hAnsi="Times New Roman"/>
          <w:b w:val="false"/>
          <w:bCs w:val="false"/>
          <w:i w:val="false"/>
          <w:iCs w:val="false"/>
          <w:color w:val="000000"/>
          <w:sz w:val="24"/>
          <w:szCs w:val="24"/>
        </w:rPr>
        <w:t xml:space="preserve">Red flags and how to identify suspicious transactions or end uses;</w:t>
      </w:r>
    </w:p>
    <w:p>
      <w:pPr>
        <w:pStyle w:val="ListParagraph"/>
        <w:numPr>
          <w:ilvl w:val="0"/>
          <w:numId w:val="1"/>
        </w:numPr>
        <w:spacing w:after="100" w:before="0"/>
        <w:ind w:left="720" w:hanging="360"/>
      </w:pPr>
      <w:r>
        <w:rPr>
          <w:rFonts w:ascii="Times New Roman" w:cs="Times New Roman" w:eastAsia="Times New Roman" w:hAnsi="Times New Roman"/>
          <w:b w:val="false"/>
          <w:bCs w:val="false"/>
          <w:i w:val="false"/>
          <w:iCs w:val="false"/>
          <w:color w:val="000000"/>
          <w:sz w:val="24"/>
          <w:szCs w:val="24"/>
        </w:rPr>
        <w:t xml:space="preserve">The company's denied party screening procedures;</w:t>
      </w:r>
    </w:p>
    <w:p>
      <w:pPr>
        <w:pStyle w:val="ListParagraph"/>
        <w:numPr>
          <w:ilvl w:val="0"/>
          <w:numId w:val="1"/>
        </w:numPr>
        <w:spacing w:after="100" w:before="0"/>
        <w:ind w:left="720" w:hanging="360"/>
      </w:pPr>
      <w:r>
        <w:rPr>
          <w:rFonts w:ascii="Times New Roman" w:cs="Times New Roman" w:eastAsia="Times New Roman" w:hAnsi="Times New Roman"/>
          <w:b w:val="false"/>
          <w:bCs w:val="false"/>
          <w:i w:val="false"/>
          <w:iCs w:val="false"/>
          <w:color w:val="000000"/>
          <w:sz w:val="24"/>
          <w:szCs w:val="24"/>
        </w:rPr>
        <w:t xml:space="preserve">How to recognize controlled items and technical data;</w:t>
      </w:r>
    </w:p>
    <w:p>
      <w:pPr>
        <w:pStyle w:val="ListParagraph"/>
        <w:numPr>
          <w:ilvl w:val="0"/>
          <w:numId w:val="1"/>
        </w:numPr>
        <w:spacing w:after="100" w:before="0"/>
        <w:ind w:left="720" w:hanging="360"/>
      </w:pPr>
      <w:r>
        <w:rPr>
          <w:rFonts w:ascii="Times New Roman" w:cs="Times New Roman" w:eastAsia="Times New Roman" w:hAnsi="Times New Roman"/>
          <w:b w:val="false"/>
          <w:bCs w:val="false"/>
          <w:i w:val="false"/>
          <w:iCs w:val="false"/>
          <w:color w:val="000000"/>
          <w:sz w:val="24"/>
          <w:szCs w:val="24"/>
        </w:rPr>
        <w:t xml:space="preserve">How to report suspected violations; and</w:t>
      </w:r>
    </w:p>
    <w:p>
      <w:pPr>
        <w:pStyle w:val="ListParagraph"/>
        <w:numPr>
          <w:ilvl w:val="0"/>
          <w:numId w:val="1"/>
        </w:numPr>
        <w:spacing w:after="100" w:before="0"/>
        <w:ind w:left="720" w:hanging="360"/>
      </w:pPr>
      <w:r>
        <w:rPr>
          <w:rFonts w:ascii="Times New Roman" w:cs="Times New Roman" w:eastAsia="Times New Roman" w:hAnsi="Times New Roman"/>
          <w:b w:val="false"/>
          <w:bCs w:val="false"/>
          <w:i w:val="false"/>
          <w:iCs w:val="false"/>
          <w:color w:val="000000"/>
          <w:sz w:val="24"/>
          <w:szCs w:val="24"/>
        </w:rPr>
        <w:t xml:space="preserve">Consequences of non-compliance for the company and for individuals.</w:t>
      </w:r>
    </w:p>
    <w:p>
      <w:pPr>
        <w:spacing w:after="80" w:before="0"/>
        <w:ind w:left="360"/>
        <w:jc w:val="left"/>
      </w:pPr>
      <w:r>
        <w:rPr>
          <w:rFonts w:ascii="Times New Roman" w:cs="Times New Roman" w:eastAsia="Times New Roman" w:hAnsi="Times New Roman"/>
          <w:b w:val="false"/>
          <w:bCs w:val="false"/>
          <w:i w:val="false"/>
          <w:iCs w:val="false"/>
          <w:color w:val="000000"/>
          <w:sz w:val="24"/>
          <w:szCs w:val="24"/>
        </w:rPr>
        <w:t xml:space="preserve">Training records — including date, attendees, trainer, and topics covered — must be retained. Refresher training must be provided at least annually and following any significant regulatory change.</w:t>
      </w:r>
    </w:p>
    <w:p>
      <w:pPr>
        <w:pBdr>
          <w:bottom w:val="single" w:color="000000" w:sz="6" w:space="4"/>
        </w:pBdr>
        <w:spacing w:after="80" w:before="240"/>
      </w:pPr>
      <w:r>
        <w:rPr>
          <w:rFonts w:ascii="Times New Roman" w:cs="Times New Roman" w:eastAsia="Times New Roman" w:hAnsi="Times New Roman"/>
          <w:b/>
          <w:bCs/>
          <w:i w:val="false"/>
          <w:iCs w:val="false"/>
          <w:color w:val="000000"/>
          <w:sz w:val="24"/>
          <w:szCs w:val="24"/>
        </w:rPr>
        <w:t xml:space="preserve">10.  Recordkeeping</w:t>
      </w:r>
    </w:p>
    <w:p>
      <w:pPr>
        <w:spacing w:after="100" w:before="0"/>
        <w:jc w:val="left"/>
      </w:pPr>
      <w:r>
        <w:rPr>
          <w:rFonts w:ascii="Times New Roman" w:cs="Times New Roman" w:eastAsia="Times New Roman" w:hAnsi="Times New Roman"/>
          <w:b w:val="false"/>
          <w:bCs w:val="false"/>
          <w:i w:val="false"/>
          <w:iCs w:val="false"/>
          <w:color w:val="000000"/>
          <w:sz w:val="24"/>
          <w:szCs w:val="24"/>
        </w:rPr>
        <w:t xml:space="preserve">The company maintains records sufficient to demonstrate compliance with all applicable export control regulations. Records must be retained for a minimum of five years from the date of export, re-export, or transfer, or from the date of license or agreement expiration, whichever is later. Applicable recordkeeping requirements include:</w:t>
      </w:r>
    </w:p>
    <w:p>
      <w:pPr>
        <w:pStyle w:val="ListParagraph"/>
        <w:numPr>
          <w:ilvl w:val="0"/>
          <w:numId w:val="1"/>
        </w:numPr>
        <w:spacing w:after="100" w:before="0"/>
        <w:ind w:left="720" w:hanging="360"/>
      </w:pPr>
      <w:r>
        <w:rPr>
          <w:rFonts w:ascii="Times New Roman" w:cs="Times New Roman" w:eastAsia="Times New Roman" w:hAnsi="Times New Roman"/>
          <w:b w:val="false"/>
          <w:bCs w:val="false"/>
          <w:i w:val="false"/>
          <w:iCs w:val="false"/>
          <w:color w:val="000000"/>
          <w:sz w:val="24"/>
          <w:szCs w:val="24"/>
        </w:rPr>
        <w:t xml:space="preserve">EAR: 15 CFR Part 762 — export documents, license determinations, screening records, exception analyses;</w:t>
      </w:r>
    </w:p>
    <w:p>
      <w:pPr>
        <w:pStyle w:val="ListParagraph"/>
        <w:numPr>
          <w:ilvl w:val="0"/>
          <w:numId w:val="1"/>
        </w:numPr>
        <w:spacing w:after="100" w:before="0"/>
        <w:ind w:left="720" w:hanging="360"/>
      </w:pPr>
      <w:r>
        <w:rPr>
          <w:rFonts w:ascii="Times New Roman" w:cs="Times New Roman" w:eastAsia="Times New Roman" w:hAnsi="Times New Roman"/>
          <w:b w:val="false"/>
          <w:bCs w:val="false"/>
          <w:i w:val="false"/>
          <w:iCs w:val="false"/>
          <w:color w:val="000000"/>
          <w:sz w:val="24"/>
          <w:szCs w:val="24"/>
        </w:rPr>
        <w:t xml:space="preserve">ITAR: 22 CFR 122.5 — export documents, license copies, agreement copies, proviso compliance records, technical data transfer records;</w:t>
      </w:r>
    </w:p>
    <w:p>
      <w:pPr>
        <w:pStyle w:val="ListParagraph"/>
        <w:numPr>
          <w:ilvl w:val="0"/>
          <w:numId w:val="1"/>
        </w:numPr>
        <w:spacing w:after="100" w:before="0"/>
        <w:ind w:left="720" w:hanging="360"/>
      </w:pPr>
      <w:r>
        <w:rPr>
          <w:rFonts w:ascii="Times New Roman" w:cs="Times New Roman" w:eastAsia="Times New Roman" w:hAnsi="Times New Roman"/>
          <w:b w:val="false"/>
          <w:bCs w:val="false"/>
          <w:i w:val="false"/>
          <w:iCs w:val="false"/>
          <w:color w:val="000000"/>
          <w:sz w:val="24"/>
          <w:szCs w:val="24"/>
        </w:rPr>
        <w:t xml:space="preserve">OFAC: 31 CFR Part 501, App. A — all records relating to blocked or rejected transactions, licenses, and compliance actions; and</w:t>
      </w:r>
    </w:p>
    <w:p>
      <w:pPr>
        <w:pStyle w:val="ListParagraph"/>
        <w:numPr>
          <w:ilvl w:val="0"/>
          <w:numId w:val="1"/>
        </w:numPr>
        <w:spacing w:after="100" w:before="0"/>
        <w:ind w:left="720" w:hanging="360"/>
      </w:pPr>
      <w:r>
        <w:rPr>
          <w:rFonts w:ascii="Times New Roman" w:cs="Times New Roman" w:eastAsia="Times New Roman" w:hAnsi="Times New Roman"/>
          <w:b w:val="false"/>
          <w:bCs w:val="false"/>
          <w:i w:val="false"/>
          <w:iCs w:val="false"/>
          <w:color w:val="000000"/>
          <w:sz w:val="24"/>
          <w:szCs w:val="24"/>
        </w:rPr>
        <w:t xml:space="preserve">FTR: 15 CFR 30.66(c) — EEI filing records and supporting documentation.</w:t>
      </w:r>
    </w:p>
    <w:p>
      <w:pPr>
        <w:spacing w:after="80" w:before="0"/>
        <w:ind w:left="360"/>
        <w:jc w:val="left"/>
      </w:pPr>
      <w:r>
        <w:rPr>
          <w:rFonts w:ascii="Times New Roman" w:cs="Times New Roman" w:eastAsia="Times New Roman" w:hAnsi="Times New Roman"/>
          <w:b w:val="false"/>
          <w:bCs w:val="false"/>
          <w:i w:val="false"/>
          <w:iCs w:val="false"/>
          <w:color w:val="000000"/>
          <w:sz w:val="24"/>
          <w:szCs w:val="24"/>
        </w:rPr>
        <w:t xml:space="preserve">Records must be stored in a manner that allows for timely retrieval and must be made available to authorized government agencies upon request.</w:t>
      </w:r>
    </w:p>
    <w:p>
      <w:pPr>
        <w:pBdr>
          <w:bottom w:val="single" w:color="000000" w:sz="6" w:space="4"/>
        </w:pBdr>
        <w:spacing w:after="80" w:before="240"/>
      </w:pPr>
      <w:r>
        <w:rPr>
          <w:rFonts w:ascii="Times New Roman" w:cs="Times New Roman" w:eastAsia="Times New Roman" w:hAnsi="Times New Roman"/>
          <w:b/>
          <w:bCs/>
          <w:i w:val="false"/>
          <w:iCs w:val="false"/>
          <w:color w:val="000000"/>
          <w:sz w:val="24"/>
          <w:szCs w:val="24"/>
        </w:rPr>
        <w:t xml:space="preserve">11.  Violation Reporting and Voluntary Self-Disclosure</w:t>
      </w:r>
    </w:p>
    <w:p>
      <w:pPr>
        <w:spacing w:after="100" w:before="0"/>
        <w:jc w:val="left"/>
      </w:pPr>
      <w:r>
        <w:rPr>
          <w:rFonts w:ascii="Times New Roman" w:cs="Times New Roman" w:eastAsia="Times New Roman" w:hAnsi="Times New Roman"/>
          <w:b w:val="false"/>
          <w:bCs w:val="false"/>
          <w:i w:val="false"/>
          <w:iCs w:val="false"/>
          <w:color w:val="000000"/>
          <w:sz w:val="24"/>
          <w:szCs w:val="24"/>
        </w:rPr>
        <w:t xml:space="preserve">Any employee who becomes aware of an actual or suspected export control violation must report it immediately to the Export Compliance Officer or Legal Counsel. Retaliation against any person who reports in good faith is strictly prohibited and may itself constitute a violation of company policy.</w:t>
      </w:r>
    </w:p>
    <w:p>
      <w:pPr>
        <w:spacing w:after="100" w:before="0"/>
        <w:jc w:val="left"/>
      </w:pPr>
      <w:r>
        <w:rPr>
          <w:rFonts w:ascii="Times New Roman" w:cs="Times New Roman" w:eastAsia="Times New Roman" w:hAnsi="Times New Roman"/>
          <w:b/>
          <w:bCs/>
          <w:i w:val="false"/>
          <w:iCs w:val="false"/>
          <w:color w:val="000000"/>
          <w:sz w:val="24"/>
          <w:szCs w:val="24"/>
        </w:rPr>
        <w:t xml:space="preserve">ITAR mandatory disclosure — 22 CFR 126.1(e)(2): </w:t>
      </w:r>
      <w:r>
        <w:rPr>
          <w:rFonts w:ascii="Times New Roman" w:cs="Times New Roman" w:eastAsia="Times New Roman" w:hAnsi="Times New Roman"/>
          <w:b w:val="false"/>
          <w:bCs w:val="false"/>
          <w:i w:val="false"/>
          <w:iCs w:val="false"/>
          <w:color w:val="000000"/>
          <w:sz w:val="24"/>
          <w:szCs w:val="24"/>
        </w:rPr>
        <w:t xml:space="preserve">Any person with knowledge of an actual or apparent violation involving a country listed in 22 CFR 126.1 (proscribed countries) must notify DDTC immediately. This obligation is mandatory. Failure to notify is itself a separate violation of the ITAR.</w:t>
      </w:r>
    </w:p>
    <w:p>
      <w:pPr>
        <w:spacing w:after="100" w:before="0"/>
        <w:jc w:val="left"/>
      </w:pPr>
      <w:r>
        <w:rPr>
          <w:rFonts w:ascii="Times New Roman" w:cs="Times New Roman" w:eastAsia="Times New Roman" w:hAnsi="Times New Roman"/>
          <w:b/>
          <w:bCs/>
          <w:i w:val="false"/>
          <w:iCs w:val="false"/>
          <w:color w:val="000000"/>
          <w:sz w:val="24"/>
          <w:szCs w:val="24"/>
        </w:rPr>
        <w:t xml:space="preserve">EAR voluntary self-disclosure (VSD): </w:t>
      </w:r>
      <w:r>
        <w:rPr>
          <w:rFonts w:ascii="Times New Roman" w:cs="Times New Roman" w:eastAsia="Times New Roman" w:hAnsi="Times New Roman"/>
          <w:b w:val="false"/>
          <w:bCs w:val="false"/>
          <w:i w:val="false"/>
          <w:iCs w:val="false"/>
          <w:color w:val="000000"/>
          <w:sz w:val="24"/>
          <w:szCs w:val="24"/>
        </w:rPr>
        <w:t xml:space="preserve">Under 15 CFR Part 764, Supplement No. 1, an initial notification should be submitted to the Director, Office of Export Enforcement (OEE), followed by a comprehensive narrative within 180 days. A timely, complete, and accurate VSD is given great weight as a mitigating factor in penalty determinations.</w:t>
      </w:r>
    </w:p>
    <w:p>
      <w:pPr>
        <w:spacing w:after="100" w:before="0"/>
        <w:jc w:val="left"/>
      </w:pPr>
      <w:r>
        <w:rPr>
          <w:rFonts w:ascii="Times New Roman" w:cs="Times New Roman" w:eastAsia="Times New Roman" w:hAnsi="Times New Roman"/>
          <w:b/>
          <w:bCs/>
          <w:i w:val="false"/>
          <w:iCs w:val="false"/>
          <w:color w:val="000000"/>
          <w:sz w:val="24"/>
          <w:szCs w:val="24"/>
        </w:rPr>
        <w:t xml:space="preserve">ITAR VSD: </w:t>
      </w:r>
      <w:r>
        <w:rPr>
          <w:rFonts w:ascii="Times New Roman" w:cs="Times New Roman" w:eastAsia="Times New Roman" w:hAnsi="Times New Roman"/>
          <w:b w:val="false"/>
          <w:bCs w:val="false"/>
          <w:i w:val="false"/>
          <w:iCs w:val="false"/>
          <w:color w:val="000000"/>
          <w:sz w:val="24"/>
          <w:szCs w:val="24"/>
        </w:rPr>
        <w:t xml:space="preserve">Under 22 CFR 127.12, an initial notification must be followed by a full disclosure to DDTC within 60 days. Early disclosure and cooperation are treated as significant mitigating factors.</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The Export Compliance Officer will lead the internal investigation, coordinate the disclosure, and develop corrective actions. Legal Counsel should be involved in all government disclosures.</w:t>
      </w:r>
    </w:p>
    <w:p>
      <w:pPr>
        <w:pBdr>
          <w:bottom w:val="single" w:color="000000" w:sz="6" w:space="4"/>
        </w:pBdr>
        <w:spacing w:after="80" w:before="240"/>
      </w:pPr>
      <w:r>
        <w:rPr>
          <w:rFonts w:ascii="Times New Roman" w:cs="Times New Roman" w:eastAsia="Times New Roman" w:hAnsi="Times New Roman"/>
          <w:b/>
          <w:bCs/>
          <w:i w:val="false"/>
          <w:iCs w:val="false"/>
          <w:color w:val="000000"/>
          <w:sz w:val="24"/>
          <w:szCs w:val="24"/>
        </w:rPr>
        <w:t xml:space="preserve">12.  Penalties for Non-Compliance</w:t>
      </w:r>
    </w:p>
    <w:p>
      <w:pPr>
        <w:spacing w:after="100" w:before="0"/>
        <w:jc w:val="left"/>
      </w:pPr>
      <w:r>
        <w:rPr>
          <w:rFonts w:ascii="Times New Roman" w:cs="Times New Roman" w:eastAsia="Times New Roman" w:hAnsi="Times New Roman"/>
          <w:b w:val="false"/>
          <w:bCs w:val="false"/>
          <w:i w:val="false"/>
          <w:iCs w:val="false"/>
          <w:color w:val="000000"/>
          <w:sz w:val="24"/>
          <w:szCs w:val="24"/>
        </w:rPr>
        <w:t xml:space="preserve">Violations of U.S. export control laws may result in significant penalties for both the company and the individuals involved:</w:t>
      </w:r>
    </w:p>
    <w:p>
      <w:pPr>
        <w:spacing w:after="100" w:before="0"/>
        <w:jc w:val="left"/>
      </w:pPr>
      <w:r>
        <w:rPr>
          <w:rFonts w:ascii="Times New Roman" w:cs="Times New Roman" w:eastAsia="Times New Roman" w:hAnsi="Times New Roman"/>
          <w:b/>
          <w:bCs/>
          <w:i w:val="false"/>
          <w:iCs w:val="false"/>
          <w:color w:val="000000"/>
          <w:sz w:val="24"/>
          <w:szCs w:val="24"/>
        </w:rPr>
        <w:t xml:space="preserve">ITAR (22 CFR Part 127): </w:t>
      </w:r>
      <w:r>
        <w:rPr>
          <w:rFonts w:ascii="Times New Roman" w:cs="Times New Roman" w:eastAsia="Times New Roman" w:hAnsi="Times New Roman"/>
          <w:b w:val="false"/>
          <w:bCs w:val="false"/>
          <w:i w:val="false"/>
          <w:iCs w:val="false"/>
          <w:color w:val="000000"/>
          <w:sz w:val="24"/>
          <w:szCs w:val="24"/>
        </w:rPr>
        <w:t xml:space="preserve">Civil penalties up to $1,271,078 per violation, or twice the value of the transaction, whichever is greater. Criminal penalties up to $1,000,000 per violation and/or up to 20 years imprisonment. DDTC may also impose debarment — a prohibition on participating in any future ITAR-regulated transaction.</w:t>
      </w:r>
    </w:p>
    <w:p>
      <w:pPr>
        <w:spacing w:after="100" w:before="0"/>
        <w:jc w:val="left"/>
      </w:pPr>
      <w:r>
        <w:rPr>
          <w:rFonts w:ascii="Times New Roman" w:cs="Times New Roman" w:eastAsia="Times New Roman" w:hAnsi="Times New Roman"/>
          <w:b/>
          <w:bCs/>
          <w:i w:val="false"/>
          <w:iCs w:val="false"/>
          <w:color w:val="000000"/>
          <w:sz w:val="24"/>
          <w:szCs w:val="24"/>
        </w:rPr>
        <w:t xml:space="preserve">EAR (15 CFR Part 764): </w:t>
      </w:r>
      <w:r>
        <w:rPr>
          <w:rFonts w:ascii="Times New Roman" w:cs="Times New Roman" w:eastAsia="Times New Roman" w:hAnsi="Times New Roman"/>
          <w:b w:val="false"/>
          <w:bCs w:val="false"/>
          <w:i w:val="false"/>
          <w:iCs w:val="false"/>
          <w:color w:val="000000"/>
          <w:sz w:val="24"/>
          <w:szCs w:val="24"/>
        </w:rPr>
        <w:t xml:space="preserve">Civil penalties up to $364,992 per violation, or twice the value of the transaction, whichever is greater. Criminal penalties under ECRA up to $1,000,000 per violation and/or up to 20 years imprisonment. BIS may also issue denial orders prohibiting participation in any EAR-regulated transaction.</w:t>
      </w:r>
    </w:p>
    <w:p>
      <w:pPr>
        <w:spacing w:after="100" w:before="0"/>
        <w:jc w:val="left"/>
      </w:pPr>
      <w:r>
        <w:rPr>
          <w:rFonts w:ascii="Times New Roman" w:cs="Times New Roman" w:eastAsia="Times New Roman" w:hAnsi="Times New Roman"/>
          <w:b/>
          <w:bCs/>
          <w:i w:val="false"/>
          <w:iCs w:val="false"/>
          <w:color w:val="000000"/>
          <w:sz w:val="24"/>
          <w:szCs w:val="24"/>
        </w:rPr>
        <w:t xml:space="preserve">OFAC (31 CFR Part 501, App. A): </w:t>
      </w:r>
      <w:r>
        <w:rPr>
          <w:rFonts w:ascii="Times New Roman" w:cs="Times New Roman" w:eastAsia="Times New Roman" w:hAnsi="Times New Roman"/>
          <w:b w:val="false"/>
          <w:bCs w:val="false"/>
          <w:i w:val="false"/>
          <w:iCs w:val="false"/>
          <w:color w:val="000000"/>
          <w:sz w:val="24"/>
          <w:szCs w:val="24"/>
        </w:rPr>
        <w:t xml:space="preserve">Civil penalty amounts are program-specific and determined by the enabling statute. For IEEPA-based programs, the civil penalty is the greater of a statutory maximum (adjusted annually for inflation) or twice the value of the transaction at issue; for TWEA-based programs, a different schedule applies. Penalties can range from tens of thousands to hundreds of millions of dollars depending on the program, the number of violations, and aggravating factors. Criminal penalties under IEEPA and TWEA: up to $1,000,000 per violation and/or up to 20 years imprisonment. OFAC may also impose blocking of assets.</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Individual liability is independent of corporate liability. Employees, officers, and directors may face personal civil and criminal penalties regardless of whether the company is also penalized.</w:t>
      </w:r>
    </w:p>
    <w:p>
      <w:pPr>
        <w:pBdr>
          <w:bottom w:val="single" w:color="000000" w:sz="6" w:space="4"/>
        </w:pBdr>
        <w:spacing w:after="80" w:before="240"/>
      </w:pPr>
      <w:r>
        <w:rPr>
          <w:rFonts w:ascii="Times New Roman" w:cs="Times New Roman" w:eastAsia="Times New Roman" w:hAnsi="Times New Roman"/>
          <w:b/>
          <w:bCs/>
          <w:i w:val="false"/>
          <w:iCs w:val="false"/>
          <w:color w:val="000000"/>
          <w:sz w:val="24"/>
          <w:szCs w:val="24"/>
        </w:rPr>
        <w:t xml:space="preserve">13.  Audit and Program Review</w:t>
      </w:r>
    </w:p>
    <w:p>
      <w:pPr>
        <w:spacing w:after="100" w:before="0"/>
        <w:jc w:val="left"/>
      </w:pPr>
      <w:r>
        <w:rPr>
          <w:rFonts w:ascii="Times New Roman" w:cs="Times New Roman" w:eastAsia="Times New Roman" w:hAnsi="Times New Roman"/>
          <w:b w:val="false"/>
          <w:bCs w:val="false"/>
          <w:i w:val="false"/>
          <w:iCs w:val="false"/>
          <w:color w:val="000000"/>
          <w:sz w:val="24"/>
          <w:szCs w:val="24"/>
        </w:rPr>
        <w:t xml:space="preserve">The Export Compliance Program is subject to periodic internal review and audit. The audit scope must cover, at minimum: classification currency, license and exemption determinations, denied party screening procedures, training records, recordkeeping practices, and the accuracy of EEI filings.</w:t>
      </w:r>
    </w:p>
    <w:p>
      <w:pPr>
        <w:spacing w:after="100" w:before="0"/>
        <w:jc w:val="left"/>
      </w:pPr>
      <w:r>
        <w:rPr>
          <w:rFonts w:ascii="Times New Roman" w:cs="Times New Roman" w:eastAsia="Times New Roman" w:hAnsi="Times New Roman"/>
          <w:b w:val="false"/>
          <w:bCs w:val="false"/>
          <w:i w:val="false"/>
          <w:iCs w:val="false"/>
          <w:color w:val="000000"/>
          <w:sz w:val="24"/>
          <w:szCs w:val="24"/>
        </w:rPr>
        <w:t xml:space="preserve">Audit findings must be reported to senior management. Identified deficiencies must be addressed through documented corrective action plans. The company may, at the direction of Legal Counsel, also engage qualified external auditors to conduct independent reviews. External audits conducted under attorney-client privilege may provide additional protection for audit results.</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This policy is reviewed at least annually. Amendments are approved by [Senior Management / Board] and communicated to all affected personnel.</w:t>
      </w:r>
    </w:p>
    <w:p>
      <w:pPr>
        <w:pBdr>
          <w:bottom w:val="single" w:color="000000" w:sz="6" w:space="4"/>
        </w:pBdr>
        <w:spacing w:after="80" w:before="240"/>
      </w:pPr>
      <w:r>
        <w:rPr>
          <w:rFonts w:ascii="Times New Roman" w:cs="Times New Roman" w:eastAsia="Times New Roman" w:hAnsi="Times New Roman"/>
          <w:b/>
          <w:bCs/>
          <w:i w:val="false"/>
          <w:iCs w:val="false"/>
          <w:color w:val="000000"/>
          <w:sz w:val="24"/>
          <w:szCs w:val="24"/>
        </w:rPr>
        <w:t xml:space="preserve">14.  Approval</w:t>
      </w:r>
    </w:p>
    <w:p>
      <w:pPr>
        <w:spacing w:after="200" w:before="0"/>
        <w:jc w:val="left"/>
      </w:pPr>
      <w:r>
        <w:rPr>
          <w:rFonts w:ascii="Times New Roman" w:cs="Times New Roman" w:eastAsia="Times New Roman" w:hAnsi="Times New Roman"/>
          <w:b w:val="false"/>
          <w:bCs w:val="false"/>
          <w:i w:val="false"/>
          <w:iCs w:val="false"/>
          <w:color w:val="000000"/>
          <w:sz w:val="24"/>
          <w:szCs w:val="24"/>
        </w:rPr>
        <w:t xml:space="preserve">Approved by: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4860"/>
      </w:tblGrid>
      <w:tr>
        <w:tc>
          <w:tcPr>
            <w:tcW w:type="dxa" w:w="4500"/>
            <w:tcBorders>
              <w:top w:val="none" w:color="FFFFFF" w:sz="0"/>
              <w:left w:val="none" w:color="FFFFFF" w:sz="0"/>
              <w:bottom w:val="none" w:color="FFFFFF" w:sz="0"/>
              <w:right w:val="none" w:color="FFFFFF" w:sz="0"/>
            </w:tcBorders>
            <w:tcMar>
              <w:top w:type="dxa" w:w="0"/>
              <w:left w:type="dxa" w:w="0"/>
              <w:bottom w:type="dxa" w:w="0"/>
              <w:right w:type="dxa" w:w="400"/>
            </w:tcMar>
          </w:tcPr>
          <w:p>
            <w:pPr>
              <w:pBdr>
                <w:bottom w:val="single" w:color="000000" w:sz="6" w:space="1"/>
              </w:pBdr>
              <w:spacing w:after="60" w:before="0"/>
            </w:pPr>
            <w:r>
              <w:rPr>
                <w:rFonts w:ascii="Times New Roman" w:cs="Times New Roman" w:eastAsia="Times New Roman" w:hAnsi="Times New Roman"/>
                <w:b w:val="false"/>
                <w:bCs w:val="false"/>
                <w:i w:val="false"/>
                <w:iCs w:val="false"/>
                <w:color w:val="000000"/>
                <w:sz w:val="24"/>
                <w:szCs w:val="24"/>
              </w:rPr>
              <w:t xml:space="preserve"/>
            </w:r>
          </w:p>
          <w:p>
            <w:pPr>
              <w:spacing w:after="40" w:before="0"/>
              <w:jc w:val="left"/>
            </w:pPr>
            <w:r>
              <w:rPr>
                <w:rFonts w:ascii="Times New Roman" w:cs="Times New Roman" w:eastAsia="Times New Roman" w:hAnsi="Times New Roman"/>
                <w:b/>
                <w:bCs/>
                <w:i w:val="false"/>
                <w:iCs w:val="false"/>
                <w:color w:val="000000"/>
                <w:sz w:val="24"/>
                <w:szCs w:val="24"/>
              </w:rPr>
              <w:t xml:space="preserve">[Name]</w:t>
            </w:r>
          </w:p>
          <w:p>
            <w:pPr>
              <w:spacing w:after="40" w:before="0"/>
              <w:jc w:val="left"/>
            </w:pPr>
            <w:r>
              <w:rPr>
                <w:rFonts w:ascii="Times New Roman" w:cs="Times New Roman" w:eastAsia="Times New Roman" w:hAnsi="Times New Roman"/>
                <w:b w:val="false"/>
                <w:bCs w:val="false"/>
                <w:i w:val="false"/>
                <w:iCs w:val="false"/>
                <w:color w:val="000000"/>
                <w:sz w:val="24"/>
                <w:szCs w:val="24"/>
              </w:rPr>
              <w:t xml:space="preserve">[Title — CEO / President / Owner]</w:t>
            </w:r>
          </w:p>
          <w:p>
            <w:pPr>
              <w:spacing w:after="40" w:before="0"/>
              <w:jc w:val="left"/>
            </w:pPr>
            <w:r>
              <w:rPr>
                <w:rFonts w:ascii="Times New Roman" w:cs="Times New Roman" w:eastAsia="Times New Roman" w:hAnsi="Times New Roman"/>
                <w:b w:val="false"/>
                <w:bCs w:val="false"/>
                <w:i w:val="false"/>
                <w:iCs w:val="false"/>
                <w:color w:val="000000"/>
                <w:sz w:val="24"/>
                <w:szCs w:val="24"/>
              </w:rPr>
              <w:t xml:space="preserve">Date: _______________</w:t>
            </w:r>
          </w:p>
        </w:tc>
        <w:tc>
          <w:tcPr>
            <w:tcW w:type="dxa" w:w="4860"/>
            <w:tcBorders>
              <w:top w:val="none" w:color="FFFFFF" w:sz="0"/>
              <w:left w:val="none" w:color="FFFFFF" w:sz="0"/>
              <w:bottom w:val="none" w:color="FFFFFF" w:sz="0"/>
              <w:right w:val="none" w:color="FFFFFF" w:sz="0"/>
            </w:tcBorders>
            <w:tcMar>
              <w:top w:type="dxa" w:w="0"/>
              <w:left w:type="dxa" w:w="0"/>
              <w:bottom w:type="dxa" w:w="0"/>
              <w:right w:type="dxa" w:w="0"/>
            </w:tcMar>
          </w:tcPr>
          <w:p>
            <w:pPr>
              <w:pBdr>
                <w:bottom w:val="single" w:color="000000" w:sz="6" w:space="1"/>
              </w:pBdr>
              <w:spacing w:after="60" w:before="0"/>
            </w:pPr>
            <w:r>
              <w:rPr>
                <w:rFonts w:ascii="Times New Roman" w:cs="Times New Roman" w:eastAsia="Times New Roman" w:hAnsi="Times New Roman"/>
                <w:b w:val="false"/>
                <w:bCs w:val="false"/>
                <w:i w:val="false"/>
                <w:iCs w:val="false"/>
                <w:color w:val="000000"/>
                <w:sz w:val="24"/>
                <w:szCs w:val="24"/>
              </w:rPr>
              <w:t xml:space="preserve"/>
            </w:r>
          </w:p>
          <w:p>
            <w:pPr>
              <w:spacing w:after="40" w:before="0"/>
              <w:jc w:val="left"/>
            </w:pPr>
            <w:r>
              <w:rPr>
                <w:rFonts w:ascii="Times New Roman" w:cs="Times New Roman" w:eastAsia="Times New Roman" w:hAnsi="Times New Roman"/>
                <w:b/>
                <w:bCs/>
                <w:i w:val="false"/>
                <w:iCs w:val="false"/>
                <w:color w:val="000000"/>
                <w:sz w:val="24"/>
                <w:szCs w:val="24"/>
              </w:rPr>
              <w:t xml:space="preserve">[Name]</w:t>
            </w:r>
          </w:p>
          <w:p>
            <w:pPr>
              <w:spacing w:after="40" w:before="0"/>
              <w:jc w:val="left"/>
            </w:pPr>
            <w:r>
              <w:rPr>
                <w:rFonts w:ascii="Times New Roman" w:cs="Times New Roman" w:eastAsia="Times New Roman" w:hAnsi="Times New Roman"/>
                <w:b w:val="false"/>
                <w:bCs w:val="false"/>
                <w:i w:val="false"/>
                <w:iCs w:val="false"/>
                <w:color w:val="000000"/>
                <w:sz w:val="24"/>
                <w:szCs w:val="24"/>
              </w:rPr>
              <w:t xml:space="preserve">Export Compliance Officer</w:t>
            </w:r>
          </w:p>
          <w:p>
            <w:pPr>
              <w:spacing w:after="40" w:before="0"/>
              <w:jc w:val="left"/>
            </w:pPr>
            <w:r>
              <w:rPr>
                <w:rFonts w:ascii="Times New Roman" w:cs="Times New Roman" w:eastAsia="Times New Roman" w:hAnsi="Times New Roman"/>
                <w:b w:val="false"/>
                <w:bCs w:val="false"/>
                <w:i w:val="false"/>
                <w:iCs w:val="false"/>
                <w:color w:val="000000"/>
                <w:sz w:val="24"/>
                <w:szCs w:val="24"/>
              </w:rPr>
              <w:t xml:space="preserve">Date: _______________</w:t>
            </w:r>
          </w:p>
        </w:tc>
      </w:tr>
    </w:tbl>
    <w:p>
      <w:pPr>
        <w:spacing w:after="200" w:before="0"/>
        <w:jc w:val="left"/>
      </w:pPr>
      <w:r>
        <w:rPr>
          <w:rFonts w:ascii="Times New Roman" w:cs="Times New Roman" w:eastAsia="Times New Roman" w:hAnsi="Times New Roman"/>
          <w:b w:val="false"/>
          <w:bCs w:val="false"/>
          <w:i w:val="false"/>
          <w:iCs w:val="false"/>
          <w:color w:val="000000"/>
          <w:sz w:val="24"/>
          <w:szCs w:val="24"/>
        </w:rPr>
        <w:t xml:space="preserve"/>
      </w:r>
    </w:p>
    <w:p>
      <w:pPr>
        <w:pBdr>
          <w:top w:val="single" w:color="AAAAAA" w:sz="4" w:space="4"/>
        </w:pBdr>
        <w:spacing w:after="60" w:before="0"/>
      </w:pPr>
      <w:r>
        <w:rPr>
          <w:rFonts w:ascii="Times New Roman" w:cs="Times New Roman" w:eastAsia="Times New Roman" w:hAnsi="Times New Roman"/>
          <w:b w:val="false"/>
          <w:bCs w:val="false"/>
          <w:i w:val="false"/>
          <w:iCs w:val="false"/>
          <w:color w:val="000000"/>
          <w:sz w:val="24"/>
          <w:szCs w:val="24"/>
        </w:rPr>
        <w:t xml:space="preserve"/>
      </w:r>
    </w:p>
    <w:p>
      <w:pPr>
        <w:spacing w:after="0" w:before="0"/>
        <w:jc w:val="center"/>
      </w:pPr>
      <w:r>
        <w:rPr>
          <w:rFonts w:ascii="Times New Roman" w:cs="Times New Roman" w:eastAsia="Times New Roman" w:hAnsi="Times New Roman"/>
          <w:b w:val="false"/>
          <w:bCs w:val="false"/>
          <w:i/>
          <w:iCs/>
          <w:color w:val="555555"/>
          <w:sz w:val="18"/>
          <w:szCs w:val="18"/>
        </w:rPr>
        <w:t xml:space="preserve">ECP-GOV-002  —  For informational purposes only. Adapt to your organization's specific circumstances and obtain qualified legal counsel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60"/>
      <w:jc w:val="center"/>
    </w:pPr>
    <w:r>
      <w:rPr>
        <w:rFonts w:ascii="Times New Roman" w:cs="Times New Roman" w:eastAsia="Times New Roman" w:hAnsi="Times New Roman"/>
        <w:color w:val="555555"/>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jc w:val="left"/>
    </w:pPr>
    <w:r>
      <w:rPr>
        <w:rFonts w:ascii="Times New Roman" w:cs="Times New Roman" w:eastAsia="Times New Roman" w:hAnsi="Times New Roman"/>
        <w:b w:val="false"/>
        <w:bCs w:val="false"/>
        <w:i w:val="false"/>
        <w:iCs w:val="false"/>
        <w:color w:val="000000"/>
        <w:sz w:val="24"/>
        <w:szCs w:val="24"/>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2026-04-20T04:05:48.735Z</dcterms:created>
  <dcterms:modified xsi:type="dcterms:W3CDTF">2026-04-20T04:05:48.735Z</dcterms:modified>
</cp:coreProperties>
</file>

<file path=docProps/custom.xml><?xml version="1.0" encoding="utf-8"?>
<Properties xmlns="http://schemas.openxmlformats.org/officeDocument/2006/custom-properties" xmlns:vt="http://schemas.openxmlformats.org/officeDocument/2006/docPropsVTypes"/>
</file>