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0"/>
        <w:jc w:val="center"/>
      </w:pPr>
      <w:r>
        <w:rPr>
          <w:rFonts w:ascii="Times New Roman" w:cs="Times New Roman" w:eastAsia="Times New Roman" w:hAnsi="Times New Roman"/>
          <w:b/>
          <w:bCs/>
          <w:i w:val="false"/>
          <w:iCs w:val="false"/>
          <w:color w:val="000000"/>
          <w:sz w:val="28"/>
          <w:szCs w:val="28"/>
        </w:rPr>
        <w:t xml:space="preserve">Export Compliance Program</w:t>
      </w:r>
    </w:p>
    <w:p>
      <w:pPr>
        <w:spacing w:after="40" w:before="0"/>
        <w:jc w:val="center"/>
      </w:pPr>
      <w:r>
        <w:rPr>
          <w:rFonts w:ascii="Times New Roman" w:cs="Times New Roman" w:eastAsia="Times New Roman" w:hAnsi="Times New Roman"/>
          <w:b/>
          <w:bCs/>
          <w:i w:val="false"/>
          <w:iCs w:val="false"/>
          <w:color w:val="000000"/>
          <w:sz w:val="26"/>
          <w:szCs w:val="26"/>
        </w:rPr>
        <w:t xml:space="preserve">Board / Senior Management Briefing Outline</w:t>
      </w:r>
    </w:p>
    <w:p>
      <w:pPr>
        <w:spacing w:after="320" w:before="0"/>
        <w:jc w:val="center"/>
      </w:pPr>
      <w:r>
        <w:rPr>
          <w:rFonts w:ascii="Times New Roman" w:cs="Times New Roman" w:eastAsia="Times New Roman" w:hAnsi="Times New Roman"/>
          <w:b w:val="false"/>
          <w:bCs w:val="false"/>
          <w:i w:val="false"/>
          <w:iCs w:val="false"/>
          <w:color w:val="555555"/>
          <w:sz w:val="20"/>
          <w:szCs w:val="20"/>
        </w:rPr>
        <w:t xml:space="preserve">ECP-GOV-004</w:t>
      </w:r>
    </w:p>
    <w:p>
      <w:pPr>
        <w:spacing w:after="80" w:before="0"/>
        <w:jc w:val="left"/>
      </w:pPr>
      <w:r>
        <w:rPr>
          <w:rFonts w:ascii="Times New Roman" w:cs="Times New Roman" w:eastAsia="Times New Roman" w:hAnsi="Times New Roman"/>
          <w:b/>
          <w:bCs/>
          <w:i w:val="false"/>
          <w:iCs w:val="false"/>
          <w:color w:val="000000"/>
          <w:sz w:val="24"/>
          <w:szCs w:val="24"/>
        </w:rPr>
        <w:t xml:space="preserve">Organization:</w:t>
      </w:r>
      <w:r>
        <w:rPr>
          <w:rFonts w:ascii="Times New Roman" w:cs="Times New Roman" w:eastAsia="Times New Roman" w:hAnsi="Times New Roman"/>
          <w:b w:val="false"/>
          <w:bCs w:val="false"/>
          <w:i w:val="false"/>
          <w:iCs w:val="false"/>
          <w:color w:val="000000"/>
          <w:sz w:val="24"/>
          <w:szCs w:val="24"/>
        </w:rPr>
        <w:t xml:space="preserve">  [Company Name]</w:t>
      </w:r>
    </w:p>
    <w:p>
      <w:pPr>
        <w:spacing w:after="80" w:before="0"/>
        <w:jc w:val="left"/>
      </w:pPr>
      <w:r>
        <w:rPr>
          <w:rFonts w:ascii="Times New Roman" w:cs="Times New Roman" w:eastAsia="Times New Roman" w:hAnsi="Times New Roman"/>
          <w:b/>
          <w:bCs/>
          <w:i w:val="false"/>
          <w:iCs w:val="false"/>
          <w:color w:val="000000"/>
          <w:sz w:val="24"/>
          <w:szCs w:val="24"/>
        </w:rPr>
        <w:t xml:space="preserve">Prepared by:</w:t>
      </w:r>
      <w:r>
        <w:rPr>
          <w:rFonts w:ascii="Times New Roman" w:cs="Times New Roman" w:eastAsia="Times New Roman" w:hAnsi="Times New Roman"/>
          <w:b w:val="false"/>
          <w:bCs w:val="false"/>
          <w:i w:val="false"/>
          <w:iCs w:val="false"/>
          <w:color w:val="000000"/>
          <w:sz w:val="24"/>
          <w:szCs w:val="24"/>
        </w:rPr>
        <w:t xml:space="preserve">  [Export Compliance Officer / General Counsel, Title]</w:t>
      </w:r>
    </w:p>
    <w:p>
      <w:pPr>
        <w:spacing w:after="80" w:before="0"/>
        <w:jc w:val="left"/>
      </w:pPr>
      <w:r>
        <w:rPr>
          <w:rFonts w:ascii="Times New Roman" w:cs="Times New Roman" w:eastAsia="Times New Roman" w:hAnsi="Times New Roman"/>
          <w:b/>
          <w:bCs/>
          <w:i w:val="false"/>
          <w:iCs w:val="false"/>
          <w:color w:val="000000"/>
          <w:sz w:val="24"/>
          <w:szCs w:val="24"/>
        </w:rPr>
        <w:t xml:space="preserve">Presented to:</w:t>
      </w:r>
      <w:r>
        <w:rPr>
          <w:rFonts w:ascii="Times New Roman" w:cs="Times New Roman" w:eastAsia="Times New Roman" w:hAnsi="Times New Roman"/>
          <w:b w:val="false"/>
          <w:bCs w:val="false"/>
          <w:i w:val="false"/>
          <w:iCs w:val="false"/>
          <w:color w:val="000000"/>
          <w:sz w:val="24"/>
          <w:szCs w:val="24"/>
        </w:rPr>
        <w:t xml:space="preserve">  [Board of Directors / Executive Leadership Team]</w:t>
      </w:r>
    </w:p>
    <w:p>
      <w:pPr>
        <w:spacing w:after="80" w:before="0"/>
        <w:jc w:val="left"/>
      </w:pPr>
      <w:r>
        <w:rPr>
          <w:rFonts w:ascii="Times New Roman" w:cs="Times New Roman" w:eastAsia="Times New Roman" w:hAnsi="Times New Roman"/>
          <w:b/>
          <w:bCs/>
          <w:i w:val="false"/>
          <w:iCs w:val="false"/>
          <w:color w:val="000000"/>
          <w:sz w:val="24"/>
          <w:szCs w:val="24"/>
        </w:rPr>
        <w:t xml:space="preserve">Date:</w:t>
      </w:r>
      <w:r>
        <w:rPr>
          <w:rFonts w:ascii="Times New Roman" w:cs="Times New Roman" w:eastAsia="Times New Roman" w:hAnsi="Times New Roman"/>
          <w:b w:val="false"/>
          <w:bCs w:val="false"/>
          <w:i w:val="false"/>
          <w:iCs w:val="false"/>
          <w:color w:val="000000"/>
          <w:sz w:val="24"/>
          <w:szCs w:val="24"/>
        </w:rPr>
        <w:t xml:space="preserve">  [Date of Presentation]</w:t>
      </w:r>
    </w:p>
    <w:p>
      <w:pPr>
        <w:spacing w:after="280" w:before="0"/>
        <w:jc w:val="left"/>
      </w:pPr>
      <w:r>
        <w:rPr>
          <w:rFonts w:ascii="Times New Roman" w:cs="Times New Roman" w:eastAsia="Times New Roman" w:hAnsi="Times New Roman"/>
          <w:b w:val="false"/>
          <w:bCs w:val="false"/>
          <w:i w:val="false"/>
          <w:iCs w:val="false"/>
          <w:color w:val="000000"/>
          <w:sz w:val="24"/>
          <w:szCs w:val="24"/>
        </w:rPr>
        <w:t xml:space="preserve"/>
      </w:r>
    </w:p>
    <w:p>
      <w:pPr>
        <w:pBdr>
          <w:bottom w:val="single" w:color="000000" w:sz="6" w:space="4"/>
        </w:pBdr>
        <w:spacing w:after="80" w:before="280"/>
      </w:pPr>
      <w:r>
        <w:rPr>
          <w:rFonts w:ascii="Times New Roman" w:cs="Times New Roman" w:eastAsia="Times New Roman" w:hAnsi="Times New Roman"/>
          <w:b/>
          <w:bCs/>
          <w:color w:val="000000"/>
          <w:sz w:val="24"/>
          <w:szCs w:val="24"/>
        </w:rPr>
        <w:t xml:space="preserve">How to Use This Document</w:t>
      </w:r>
    </w:p>
    <w:p>
      <w:pPr>
        <w:spacing w:after="160" w:before="0"/>
        <w:jc w:val="left"/>
      </w:pPr>
      <w:r>
        <w:rPr>
          <w:rFonts w:ascii="Times New Roman" w:cs="Times New Roman" w:eastAsia="Times New Roman" w:hAnsi="Times New Roman"/>
          <w:b w:val="false"/>
          <w:bCs w:val="false"/>
          <w:i w:val="false"/>
          <w:iCs w:val="false"/>
          <w:color w:val="000000"/>
          <w:sz w:val="24"/>
          <w:szCs w:val="24"/>
        </w:rPr>
        <w:t xml:space="preserve">This outline has two parts. Part A is designed for the initial, one-time briefing delivered when the compliance program is being established or when new board members or executives join. It covers the full regulatory landscape, the company's specific obligations, and the program being put in place. Part B is the standing quarterly briefing agenda — a repeatable template populated with current data each quarter to keep leadership informed of program status, metrics, incidents, and open issues.</w:t>
      </w:r>
    </w:p>
    <w:p>
      <w:pPr>
        <w:spacing w:after="160" w:before="0"/>
        <w:jc w:val="left"/>
      </w:pPr>
      <w:r>
        <w:rPr>
          <w:rFonts w:ascii="Times New Roman" w:cs="Times New Roman" w:eastAsia="Times New Roman" w:hAnsi="Times New Roman"/>
          <w:b w:val="false"/>
          <w:bCs w:val="false"/>
          <w:i w:val="false"/>
          <w:iCs w:val="false"/>
          <w:color w:val="000000"/>
          <w:sz w:val="24"/>
          <w:szCs w:val="24"/>
        </w:rPr>
        <w:t xml:space="preserve">Neither part needs to be read verbatim. The outline is a structured guide; presenters should adapt the language and depth to the audience. Sections in Part B that have not changed since the last briefing may be reported as 'No material changes this period' rather than repeated in full.</w:t>
      </w:r>
    </w:p>
    <w:p>
      <w:pPr>
        <w:spacing w:after="80" w:before="0"/>
        <w:jc w:val="left"/>
      </w:pPr>
      <w:r>
        <w:rPr>
          <w:rFonts w:ascii="Times New Roman" w:cs="Times New Roman" w:eastAsia="Times New Roman" w:hAnsi="Times New Roman"/>
          <w:b w:val="false"/>
          <w:bCs w:val="false"/>
          <w:i w:val="false"/>
          <w:iCs w:val="false"/>
          <w:color w:val="000000"/>
          <w:sz w:val="24"/>
          <w:szCs w:val="24"/>
        </w:rPr>
        <w:t xml:space="preserve"/>
      </w:r>
    </w:p>
    <w:p>
      <w:pPr>
        <w:spacing w:after="120" w:before="0"/>
        <w:jc w:val="left"/>
      </w:pPr>
      <w:r>
        <w:rPr>
          <w:rFonts w:ascii="Times New Roman" w:cs="Times New Roman" w:eastAsia="Times New Roman" w:hAnsi="Times New Roman"/>
          <w:b w:val="false"/>
          <w:bCs w:val="false"/>
          <w:i w:val="false"/>
          <w:iCs w:val="false"/>
          <w:color w:val="000000"/>
          <w:sz w:val="24"/>
          <w:szCs w:val="24"/>
        </w:rPr>
        <w:t xml:space="preserve"/>
      </w:r>
    </w:p>
    <w:p>
      <w:pPr>
        <w:pBdr>
          <w:top w:val="single" w:color="000000" w:sz="12" w:space="4"/>
          <w:bottom w:val="single" w:color="000000" w:sz="12" w:space="4"/>
        </w:pBdr>
        <w:spacing w:after="0" w:before="120"/>
        <w:jc w:val="center"/>
      </w:pPr>
      <w:r>
        <w:rPr>
          <w:rFonts w:ascii="Times New Roman" w:cs="Times New Roman" w:eastAsia="Times New Roman" w:hAnsi="Times New Roman"/>
          <w:b/>
          <w:bCs/>
          <w:color w:val="000000"/>
          <w:sz w:val="28"/>
          <w:szCs w:val="28"/>
        </w:rPr>
        <w:t xml:space="preserve">PART A — INITIAL BRIEFING</w:t>
      </w:r>
    </w:p>
    <w:p>
      <w:pPr>
        <w:spacing w:after="0" w:before="60"/>
        <w:jc w:val="center"/>
      </w:pPr>
      <w:r>
        <w:rPr>
          <w:rFonts w:ascii="Times New Roman" w:cs="Times New Roman" w:eastAsia="Times New Roman" w:hAnsi="Times New Roman"/>
          <w:b w:val="false"/>
          <w:bCs w:val="false"/>
          <w:i/>
          <w:iCs/>
          <w:color w:val="000000"/>
          <w:sz w:val="20"/>
          <w:szCs w:val="20"/>
        </w:rPr>
        <w:t xml:space="preserve">One-Time Presentation · Establish Foundation</w:t>
      </w:r>
    </w:p>
    <w:p>
      <w:pPr>
        <w:spacing w:after="200" w:before="0"/>
        <w:jc w:val="left"/>
      </w:pPr>
      <w:r>
        <w:rPr>
          <w:rFonts w:ascii="Times New Roman" w:cs="Times New Roman" w:eastAsia="Times New Roman" w:hAnsi="Times New Roman"/>
          <w:b w:val="false"/>
          <w:bCs w:val="false"/>
          <w:i w:val="false"/>
          <w:iCs w:val="false"/>
          <w:color w:val="000000"/>
          <w:sz w:val="24"/>
          <w:szCs w:val="24"/>
        </w:rPr>
        <w:t xml:space="preserve"/>
      </w:r>
    </w:p>
    <w:p>
      <w:pPr>
        <w:pBdr>
          <w:bottom w:val="single" w:color="000000" w:sz="6" w:space="4"/>
        </w:pBdr>
        <w:spacing w:after="80" w:before="280"/>
      </w:pPr>
      <w:r>
        <w:rPr>
          <w:rFonts w:ascii="Times New Roman" w:cs="Times New Roman" w:eastAsia="Times New Roman" w:hAnsi="Times New Roman"/>
          <w:b/>
          <w:bCs/>
          <w:color w:val="000000"/>
          <w:sz w:val="24"/>
          <w:szCs w:val="24"/>
        </w:rPr>
        <w:t xml:space="preserve">A1.  What Is at Stake — Penalties and Enforcement Consequences</w:t>
      </w:r>
    </w:p>
    <w:p>
      <w:pPr>
        <w:spacing w:after="160" w:before="0"/>
        <w:jc w:val="left"/>
      </w:pPr>
      <w:r>
        <w:rPr>
          <w:rFonts w:ascii="Times New Roman" w:cs="Times New Roman" w:eastAsia="Times New Roman" w:hAnsi="Times New Roman"/>
          <w:b w:val="false"/>
          <w:bCs w:val="false"/>
          <w:i w:val="false"/>
          <w:iCs w:val="false"/>
          <w:color w:val="000000"/>
          <w:sz w:val="24"/>
          <w:szCs w:val="24"/>
        </w:rPr>
        <w:t xml:space="preserve">Start with the consequences. Before covering regulatory frameworks, policies, or procedures, leadership needs to understand what the company is actually exposed to. These numbers are real, recent, and publicly reported.</w:t>
      </w:r>
    </w:p>
    <w:p>
      <w:pPr>
        <w:spacing w:after="60" w:before="0"/>
        <w:jc w:val="left"/>
      </w:pPr>
      <w:r>
        <w:rPr>
          <w:rFonts w:ascii="Times New Roman" w:cs="Times New Roman" w:eastAsia="Times New Roman" w:hAnsi="Times New Roman"/>
          <w:b w:val="false"/>
          <w:bCs w:val="false"/>
          <w:i w:val="false"/>
          <w:iCs w:val="false"/>
          <w:color w:val="000000"/>
          <w:sz w:val="24"/>
          <w:szCs w:val="24"/>
        </w:rPr>
        <w:t xml:space="preserve"/>
      </w:r>
    </w:p>
    <w:p>
      <w:pPr>
        <w:spacing w:after="60" w:before="200"/>
        <w:jc w:val="left"/>
      </w:pPr>
      <w:r>
        <w:rPr>
          <w:rFonts w:ascii="Times New Roman" w:cs="Times New Roman" w:eastAsia="Times New Roman" w:hAnsi="Times New Roman"/>
          <w:b/>
          <w:bCs/>
          <w:i w:val="false"/>
          <w:iCs w:val="false"/>
          <w:color w:val="000000"/>
          <w:sz w:val="24"/>
          <w:szCs w:val="24"/>
        </w:rPr>
        <w:t xml:space="preserve">Civil Monetary Penalties — Per Violation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tcW w:type="dxa" w:w="3600"/>
            <w:tcBorders>
              <w:top w:val="single" w:color="BBBBBB" w:sz="1"/>
              <w:left w:val="single" w:color="BBBBBB" w:sz="1"/>
              <w:bottom w:val="single" w:color="BBBBBB" w:sz="1"/>
              <w:right w:val="single" w:color="BBBBBB" w:sz="1"/>
            </w:tcBorders>
            <w:shd w:fill="EEEEEE" w:val="clear"/>
            <w:tcMar>
              <w:top w:type="dxa" w:w="80"/>
              <w:left w:type="dxa" w:w="100"/>
              <w:bottom w:type="dxa" w:w="80"/>
              <w:right w:type="dxa" w:w="100"/>
            </w:tcMar>
          </w:tcPr>
          <w:p>
            <w:pPr>
              <w:spacing w:after="0" w:before="0"/>
              <w:jc w:val="left"/>
            </w:pPr>
            <w:r>
              <w:rPr>
                <w:rFonts w:ascii="Times New Roman" w:cs="Times New Roman" w:eastAsia="Times New Roman" w:hAnsi="Times New Roman"/>
                <w:b/>
                <w:bCs/>
                <w:i w:val="false"/>
                <w:iCs w:val="false"/>
                <w:color w:val="000000"/>
                <w:sz w:val="22"/>
                <w:szCs w:val="22"/>
              </w:rPr>
              <w:t xml:space="preserve">Regulation</w:t>
            </w:r>
          </w:p>
        </w:tc>
        <w:tc>
          <w:tcPr>
            <w:tcW w:type="dxa" w:w="5760"/>
            <w:tcBorders>
              <w:top w:val="single" w:color="BBBBBB" w:sz="1"/>
              <w:left w:val="single" w:color="BBBBBB" w:sz="1"/>
              <w:bottom w:val="single" w:color="BBBBBB" w:sz="1"/>
              <w:right w:val="single" w:color="BBBBBB" w:sz="1"/>
            </w:tcBorders>
            <w:shd w:fill="EEEEEE" w:val="clear"/>
            <w:tcMar>
              <w:top w:type="dxa" w:w="80"/>
              <w:left w:type="dxa" w:w="100"/>
              <w:bottom w:type="dxa" w:w="80"/>
              <w:right w:type="dxa" w:w="100"/>
            </w:tcMar>
          </w:tcPr>
          <w:p>
            <w:pPr>
              <w:spacing w:after="0" w:before="0"/>
              <w:jc w:val="left"/>
            </w:pPr>
            <w:r>
              <w:rPr>
                <w:rFonts w:ascii="Times New Roman" w:cs="Times New Roman" w:eastAsia="Times New Roman" w:hAnsi="Times New Roman"/>
                <w:b/>
                <w:bCs/>
                <w:i w:val="false"/>
                <w:iCs w:val="false"/>
                <w:color w:val="000000"/>
                <w:sz w:val="22"/>
                <w:szCs w:val="22"/>
              </w:rPr>
              <w:t xml:space="preserve">Maximum Civil Penalty</w:t>
            </w:r>
          </w:p>
        </w:tc>
      </w:tr>
      <w:tr>
        <w:tc>
          <w:tcPr>
            <w:tcW w:type="dxa" w:w="36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ITAR (22 CFR 127.10)</w:t>
            </w:r>
          </w:p>
        </w:tc>
        <w:tc>
          <w:tcPr>
            <w:tcW w:type="dxa" w:w="576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$1,271,078 per violation, or twice the transaction value — whichever is greater</w:t>
            </w:r>
          </w:p>
        </w:tc>
      </w:tr>
      <w:tr>
        <w:tc>
          <w:tcPr>
            <w:tcW w:type="dxa" w:w="36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EAR (ECRA)</w:t>
            </w:r>
          </w:p>
        </w:tc>
        <w:tc>
          <w:tcPr>
            <w:tcW w:type="dxa" w:w="576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$364,992 per violation, or twice the transaction value — whichever is greater</w:t>
            </w:r>
          </w:p>
        </w:tc>
      </w:tr>
      <w:tr>
        <w:tc>
          <w:tcPr>
            <w:tcW w:type="dxa" w:w="36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OFAC (program-specific)</w:t>
            </w:r>
          </w:p>
        </w:tc>
        <w:tc>
          <w:tcPr>
            <w:tcW w:type="dxa" w:w="576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Varies by program — can reach hundreds of millions; IEEPA-based programs allow penalties up to $368,136 per violation or twice the transaction value</w:t>
            </w:r>
          </w:p>
        </w:tc>
      </w:tr>
    </w:tbl>
    <w:p>
      <w:pPr>
        <w:spacing w:after="100" w:before="0"/>
        <w:jc w:val="left"/>
      </w:pPr>
      <w:r>
        <w:rPr>
          <w:rFonts w:ascii="Times New Roman" w:cs="Times New Roman" w:eastAsia="Times New Roman" w:hAnsi="Times New Roman"/>
          <w:b w:val="false"/>
          <w:bCs w:val="false"/>
          <w:i w:val="false"/>
          <w:iCs w:val="false"/>
          <w:color w:val="000000"/>
          <w:sz w:val="24"/>
          <w:szCs w:val="24"/>
        </w:rPr>
        <w:t xml:space="preserve"/>
      </w:r>
    </w:p>
    <w:p>
      <w:pPr>
        <w:spacing w:after="160" w:before="0"/>
        <w:jc w:val="left"/>
      </w:pPr>
      <w:r>
        <w:rPr>
          <w:rFonts w:ascii="Times New Roman" w:cs="Times New Roman" w:eastAsia="Times New Roman" w:hAnsi="Times New Roman"/>
          <w:b w:val="false"/>
          <w:bCs w:val="false"/>
          <w:i w:val="false"/>
          <w:iCs w:val="false"/>
          <w:color w:val="000000"/>
          <w:sz w:val="24"/>
          <w:szCs w:val="24"/>
        </w:rPr>
        <w:t xml:space="preserve">Each unauthorized shipment, each unlicensed disclosure, and each false statement to a regulator is counted as a separate violation. A single transaction reviewed by government investigators often generates multiple violation counts.</w:t>
      </w:r>
    </w:p>
    <w:p>
      <w:pPr>
        <w:spacing w:after="80" w:before="0"/>
        <w:jc w:val="left"/>
      </w:pPr>
      <w:r>
        <w:rPr>
          <w:rFonts w:ascii="Times New Roman" w:cs="Times New Roman" w:eastAsia="Times New Roman" w:hAnsi="Times New Roman"/>
          <w:b w:val="false"/>
          <w:bCs w:val="false"/>
          <w:i w:val="false"/>
          <w:iCs w:val="false"/>
          <w:color w:val="000000"/>
          <w:sz w:val="24"/>
          <w:szCs w:val="24"/>
        </w:rPr>
        <w:t xml:space="preserve"/>
      </w:r>
    </w:p>
    <w:p>
      <w:pPr>
        <w:spacing w:after="60" w:before="200"/>
        <w:jc w:val="left"/>
      </w:pPr>
      <w:r>
        <w:rPr>
          <w:rFonts w:ascii="Times New Roman" w:cs="Times New Roman" w:eastAsia="Times New Roman" w:hAnsi="Times New Roman"/>
          <w:b/>
          <w:bCs/>
          <w:i w:val="false"/>
          <w:iCs w:val="false"/>
          <w:color w:val="000000"/>
          <w:sz w:val="24"/>
          <w:szCs w:val="24"/>
        </w:rPr>
        <w:t xml:space="preserve">Criminal Penalties — When There Is Willfulness</w:t>
      </w:r>
    </w:p>
    <w:p>
      <w:pPr>
        <w:spacing w:after="160" w:before="0"/>
        <w:ind w:left="360"/>
        <w:jc w:val="left"/>
      </w:pPr>
      <w:r>
        <w:rPr>
          <w:rFonts w:ascii="Times New Roman" w:cs="Times New Roman" w:eastAsia="Times New Roman" w:hAnsi="Times New Roman"/>
          <w:b w:val="false"/>
          <w:bCs w:val="false"/>
          <w:i w:val="false"/>
          <w:iCs w:val="false"/>
          <w:color w:val="000000"/>
          <w:sz w:val="24"/>
          <w:szCs w:val="24"/>
        </w:rPr>
        <w:t xml:space="preserve">Criminal liability requires a knowing and deliberate violation. Both ITAR (AECA, 22 U.S.C. §2778) and EAR (ECRA, 50 U.S.C. §4819) carry the same criminal maximum:</w:t>
      </w:r>
    </w:p>
    <w:p>
      <w:pPr>
        <w:pStyle w:val="ListParagraph"/>
        <w:numPr>
          <w:ilvl w:val="0"/>
          <w:numId w:val="2"/>
        </w:numPr>
        <w:spacing w:after="80" w:before="0"/>
      </w:pPr>
      <w:r>
        <w:rPr>
          <w:rFonts w:ascii="Times New Roman" w:cs="Times New Roman" w:eastAsia="Times New Roman" w:hAnsi="Times New Roman"/>
          <w:sz w:val="24"/>
          <w:szCs w:val="24"/>
        </w:rPr>
        <w:t xml:space="preserve">Up to $1,000,000 in fines per violation</w:t>
      </w:r>
    </w:p>
    <w:p>
      <w:pPr>
        <w:pStyle w:val="ListParagraph"/>
        <w:numPr>
          <w:ilvl w:val="0"/>
          <w:numId w:val="2"/>
        </w:numPr>
        <w:spacing w:after="80" w:before="0"/>
      </w:pPr>
      <w:r>
        <w:rPr>
          <w:rFonts w:ascii="Times New Roman" w:cs="Times New Roman" w:eastAsia="Times New Roman" w:hAnsi="Times New Roman"/>
          <w:sz w:val="24"/>
          <w:szCs w:val="24"/>
        </w:rPr>
        <w:t xml:space="preserve">Up to 20 years imprisonment per violation</w:t>
      </w:r>
    </w:p>
    <w:p>
      <w:pPr>
        <w:pStyle w:val="ListParagraph"/>
        <w:numPr>
          <w:ilvl w:val="0"/>
          <w:numId w:val="2"/>
        </w:numPr>
        <w:spacing w:after="80" w:before="0"/>
      </w:pPr>
      <w:r>
        <w:rPr>
          <w:rFonts w:ascii="Times New Roman" w:cs="Times New Roman" w:eastAsia="Times New Roman" w:hAnsi="Times New Roman"/>
          <w:sz w:val="24"/>
          <w:szCs w:val="24"/>
        </w:rPr>
        <w:t xml:space="preserve">Applies to individuals — including officers, directors, and compliance personnel — not only to the company</w:t>
      </w:r>
    </w:p>
    <w:p>
      <w:pPr>
        <w:spacing w:after="80" w:before="0"/>
        <w:jc w:val="left"/>
      </w:pPr>
      <w:r>
        <w:rPr>
          <w:rFonts w:ascii="Times New Roman" w:cs="Times New Roman" w:eastAsia="Times New Roman" w:hAnsi="Times New Roman"/>
          <w:b w:val="false"/>
          <w:bCs w:val="false"/>
          <w:i w:val="false"/>
          <w:iCs w:val="false"/>
          <w:color w:val="000000"/>
          <w:sz w:val="24"/>
          <w:szCs w:val="24"/>
        </w:rPr>
        <w:t xml:space="preserve"/>
      </w:r>
    </w:p>
    <w:p>
      <w:pPr>
        <w:spacing w:after="60" w:before="200"/>
        <w:jc w:val="left"/>
      </w:pPr>
      <w:r>
        <w:rPr>
          <w:rFonts w:ascii="Times New Roman" w:cs="Times New Roman" w:eastAsia="Times New Roman" w:hAnsi="Times New Roman"/>
          <w:b/>
          <w:bCs/>
          <w:i w:val="false"/>
          <w:iCs w:val="false"/>
          <w:color w:val="000000"/>
          <w:sz w:val="24"/>
          <w:szCs w:val="24"/>
        </w:rPr>
        <w:t xml:space="preserve">Recent Enforcement Cases — What These Numbers Look Like in Practice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2000"/>
        <w:gridCol w:w="4560"/>
      </w:tblGrid>
      <w:tr>
        <w:tc>
          <w:tcPr>
            <w:tcW w:type="dxa" w:w="2800"/>
            <w:tcBorders>
              <w:top w:val="single" w:color="BBBBBB" w:sz="1"/>
              <w:left w:val="single" w:color="BBBBBB" w:sz="1"/>
              <w:bottom w:val="single" w:color="BBBBBB" w:sz="1"/>
              <w:right w:val="single" w:color="BBBBBB" w:sz="1"/>
            </w:tcBorders>
            <w:shd w:fill="EEEEEE" w:val="clear"/>
            <w:tcMar>
              <w:top w:type="dxa" w:w="80"/>
              <w:left w:type="dxa" w:w="100"/>
              <w:bottom w:type="dxa" w:w="80"/>
              <w:right w:type="dxa" w:w="100"/>
            </w:tcMar>
          </w:tcPr>
          <w:p>
            <w:pPr>
              <w:spacing w:after="0" w:before="0"/>
              <w:jc w:val="left"/>
            </w:pPr>
            <w:r>
              <w:rPr>
                <w:rFonts w:ascii="Times New Roman" w:cs="Times New Roman" w:eastAsia="Times New Roman" w:hAnsi="Times New Roman"/>
                <w:b/>
                <w:bCs/>
                <w:i w:val="false"/>
                <w:iCs w:val="false"/>
                <w:color w:val="000000"/>
                <w:sz w:val="22"/>
                <w:szCs w:val="22"/>
              </w:rPr>
              <w:t xml:space="preserve">Case</w:t>
            </w:r>
          </w:p>
        </w:tc>
        <w:tc>
          <w:tcPr>
            <w:tcW w:type="dxa" w:w="2000"/>
            <w:tcBorders>
              <w:top w:val="single" w:color="BBBBBB" w:sz="1"/>
              <w:left w:val="single" w:color="BBBBBB" w:sz="1"/>
              <w:bottom w:val="single" w:color="BBBBBB" w:sz="1"/>
              <w:right w:val="single" w:color="BBBBBB" w:sz="1"/>
            </w:tcBorders>
            <w:shd w:fill="EEEEEE" w:val="clear"/>
            <w:tcMar>
              <w:top w:type="dxa" w:w="80"/>
              <w:left w:type="dxa" w:w="100"/>
              <w:bottom w:type="dxa" w:w="80"/>
              <w:right w:type="dxa" w:w="100"/>
            </w:tcMar>
          </w:tcPr>
          <w:p>
            <w:pPr>
              <w:spacing w:after="0" w:before="0"/>
              <w:jc w:val="left"/>
            </w:pPr>
            <w:r>
              <w:rPr>
                <w:rFonts w:ascii="Times New Roman" w:cs="Times New Roman" w:eastAsia="Times New Roman" w:hAnsi="Times New Roman"/>
                <w:b/>
                <w:bCs/>
                <w:i w:val="false"/>
                <w:iCs w:val="false"/>
                <w:color w:val="000000"/>
                <w:sz w:val="22"/>
                <w:szCs w:val="22"/>
              </w:rPr>
              <w:t xml:space="preserve">Penalty</w:t>
            </w:r>
          </w:p>
        </w:tc>
        <w:tc>
          <w:tcPr>
            <w:tcW w:type="dxa" w:w="4560"/>
            <w:tcBorders>
              <w:top w:val="single" w:color="BBBBBB" w:sz="1"/>
              <w:left w:val="single" w:color="BBBBBB" w:sz="1"/>
              <w:bottom w:val="single" w:color="BBBBBB" w:sz="1"/>
              <w:right w:val="single" w:color="BBBBBB" w:sz="1"/>
            </w:tcBorders>
            <w:shd w:fill="EEEEEE" w:val="clear"/>
            <w:tcMar>
              <w:top w:type="dxa" w:w="80"/>
              <w:left w:type="dxa" w:w="100"/>
              <w:bottom w:type="dxa" w:w="80"/>
              <w:right w:type="dxa" w:w="100"/>
            </w:tcMar>
          </w:tcPr>
          <w:p>
            <w:pPr>
              <w:spacing w:after="0" w:before="0"/>
              <w:jc w:val="left"/>
            </w:pPr>
            <w:r>
              <w:rPr>
                <w:rFonts w:ascii="Times New Roman" w:cs="Times New Roman" w:eastAsia="Times New Roman" w:hAnsi="Times New Roman"/>
                <w:b/>
                <w:bCs/>
                <w:i w:val="false"/>
                <w:iCs w:val="false"/>
                <w:color w:val="000000"/>
                <w:sz w:val="22"/>
                <w:szCs w:val="22"/>
              </w:rPr>
              <w:t xml:space="preserve">What Went Wrong</w:t>
            </w:r>
          </w:p>
        </w:tc>
      </w:tr>
      <w:tr>
        <w:tc>
          <w:tcPr>
            <w:tcW w:type="dxa" w:w="28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RTX Corporation (ITAR civil, 2024)</w:t>
            </w:r>
          </w:p>
        </w:tc>
        <w:tc>
          <w:tcPr>
            <w:tcW w:type="dxa" w:w="20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$200,000,000</w:t>
            </w:r>
          </w:p>
        </w:tc>
        <w:tc>
          <w:tcPr>
            <w:tcW w:type="dxa" w:w="456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750 ITAR violations inherited through acquisitions: unauthorized exports of classified F-22 and E-3 technical data to Chinese employees; hand-carry to proscribed countries; license proviso violations. RTX voluntarily disclosed — without disclosure, the penalty would have been higher.</w:t>
            </w:r>
          </w:p>
        </w:tc>
      </w:tr>
      <w:tr>
        <w:tc>
          <w:tcPr>
            <w:tcW w:type="dxa" w:w="28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Seagate Technology (EAR civil, 2023)</w:t>
            </w:r>
          </w:p>
        </w:tc>
        <w:tc>
          <w:tcPr>
            <w:tcW w:type="dxa" w:w="20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$300,000,000</w:t>
            </w:r>
          </w:p>
        </w:tc>
        <w:tc>
          <w:tcPr>
            <w:tcW w:type="dxa" w:w="456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Largest standalone BIS civil penalty ever. Seagate sold ~7.4 million hard drives ($1.1B value) to Huawei after the Entity List addition — while competitors had already stopped. No voluntary disclosure. Result: $300M in quarterly payments over five years plus a suspended denial order.</w:t>
            </w:r>
          </w:p>
        </w:tc>
      </w:tr>
      <w:tr>
        <w:tc>
          <w:tcPr>
            <w:tcW w:type="dxa" w:w="28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Quadrant Magnetics LLC (ITAR criminal, 2025)</w:t>
            </w:r>
          </w:p>
        </w:tc>
        <w:tc>
          <w:tcPr>
            <w:tcW w:type="dxa" w:w="20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$2,300,000 + prison</w:t>
            </w:r>
          </w:p>
        </w:tc>
        <w:tc>
          <w:tcPr>
            <w:tcW w:type="dxa" w:w="456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CEO and VP emailed 70 drawings of ITAR-controlled rare earth magnet tech to a Chinese affiliate, then imported the Chinese-made parts and sold them to the Department of Defense as U.S.-origin. Both executives pleaded guilty; each expected to serve ~3 years. Company: $1M criminal fine + $1.3M forfeiture + 2-year DOD suspension.</w:t>
            </w:r>
          </w:p>
        </w:tc>
      </w:tr>
      <w:tr>
        <w:tc>
          <w:tcPr>
            <w:tcW w:type="dxa" w:w="28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Unnamed aerospace supplier (ITAR debarment)</w:t>
            </w:r>
          </w:p>
        </w:tc>
        <w:tc>
          <w:tcPr>
            <w:tcW w:type="dxa" w:w="20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Export privileges lost</w:t>
            </w:r>
          </w:p>
        </w:tc>
        <w:tc>
          <w:tcPr>
            <w:tcW w:type="dxa" w:w="456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Statutory debarment applies automatically upon criminal conviction under certain statutes — no hearing required. The company loses the ability to export any ITAR-controlled item for the debarment period, which can be the effective end of a defense business.</w:t>
            </w:r>
          </w:p>
        </w:tc>
      </w:tr>
    </w:tbl>
    <w:p>
      <w:pPr>
        <w:spacing w:after="100" w:before="0"/>
        <w:jc w:val="left"/>
      </w:pPr>
      <w:r>
        <w:rPr>
          <w:rFonts w:ascii="Times New Roman" w:cs="Times New Roman" w:eastAsia="Times New Roman" w:hAnsi="Times New Roman"/>
          <w:b w:val="false"/>
          <w:bCs w:val="false"/>
          <w:i w:val="false"/>
          <w:iCs w:val="false"/>
          <w:color w:val="000000"/>
          <w:sz w:val="24"/>
          <w:szCs w:val="24"/>
        </w:rPr>
        <w:t xml:space="preserve"/>
      </w:r>
    </w:p>
    <w:p>
      <w:pPr>
        <w:spacing w:after="60" w:before="200"/>
        <w:jc w:val="left"/>
      </w:pPr>
      <w:r>
        <w:rPr>
          <w:rFonts w:ascii="Times New Roman" w:cs="Times New Roman" w:eastAsia="Times New Roman" w:hAnsi="Times New Roman"/>
          <w:b/>
          <w:bCs/>
          <w:i w:val="false"/>
          <w:iCs w:val="false"/>
          <w:color w:val="000000"/>
          <w:sz w:val="24"/>
          <w:szCs w:val="24"/>
        </w:rPr>
        <w:t xml:space="preserve">Non-Monetary Consequences — Often Worse Than the Fine</w:t>
      </w:r>
    </w:p>
    <w:p>
      <w:pPr>
        <w:pStyle w:val="ListParagraph"/>
        <w:numPr>
          <w:ilvl w:val="0"/>
          <w:numId w:val="2"/>
        </w:numPr>
        <w:spacing w:after="80" w:before="0"/>
      </w:pPr>
      <w:r>
        <w:rPr>
          <w:rFonts w:ascii="Times New Roman" w:cs="Times New Roman" w:eastAsia="Times New Roman" w:hAnsi="Times New Roman"/>
          <w:sz w:val="24"/>
          <w:szCs w:val="24"/>
        </w:rPr>
        <w:t xml:space="preserve">Denial orders (EAR) and debarment (ITAR) prohibit the named person or company from participating in any regulated transaction — published publicly and searchable by every customer and partner.</w:t>
      </w:r>
    </w:p>
    <w:p>
      <w:pPr>
        <w:pStyle w:val="ListParagraph"/>
        <w:numPr>
          <w:ilvl w:val="0"/>
          <w:numId w:val="2"/>
        </w:numPr>
        <w:spacing w:after="80" w:before="0"/>
      </w:pPr>
      <w:r>
        <w:rPr>
          <w:rFonts w:ascii="Times New Roman" w:cs="Times New Roman" w:eastAsia="Times New Roman" w:hAnsi="Times New Roman"/>
          <w:sz w:val="24"/>
          <w:szCs w:val="24"/>
        </w:rPr>
        <w:t xml:space="preserve">Consent agreements typically require appointment of an external Special Compliance Officer, mandatory audits, and compliance investments — the RTX consent agreement required $100 million in direct compliance remediation in addition to the $100 million cash payment.</w:t>
      </w:r>
    </w:p>
    <w:p>
      <w:pPr>
        <w:pStyle w:val="ListParagraph"/>
        <w:numPr>
          <w:ilvl w:val="0"/>
          <w:numId w:val="2"/>
        </w:numPr>
        <w:spacing w:after="80" w:before="0"/>
      </w:pPr>
      <w:r>
        <w:rPr>
          <w:rFonts w:ascii="Times New Roman" w:cs="Times New Roman" w:eastAsia="Times New Roman" w:hAnsi="Times New Roman"/>
          <w:sz w:val="24"/>
          <w:szCs w:val="24"/>
        </w:rPr>
        <w:t xml:space="preserve">Publicly traded companies must disclose material government investigations and penalties, with direct impact on share price and relationships with investors, lenders, and counterparties.</w:t>
      </w:r>
    </w:p>
    <w:p>
      <w:pPr>
        <w:pStyle w:val="ListParagraph"/>
        <w:numPr>
          <w:ilvl w:val="0"/>
          <w:numId w:val="2"/>
        </w:numPr>
        <w:spacing w:after="80" w:before="0"/>
      </w:pPr>
      <w:r>
        <w:rPr>
          <w:rFonts w:ascii="Times New Roman" w:cs="Times New Roman" w:eastAsia="Times New Roman" w:hAnsi="Times New Roman"/>
          <w:sz w:val="24"/>
          <w:szCs w:val="24"/>
        </w:rPr>
        <w:t xml:space="preserve">Loss of government contracts, security clearances, and access to controlled technology — a company under a denial order or debarment cannot receive ITAR-controlled items, making it effectively impossible to supply or service the defense market.</w:t>
      </w:r>
    </w:p>
    <w:p>
      <w:pPr>
        <w:spacing w:after="80" w:before="0"/>
        <w:jc w:val="left"/>
      </w:pPr>
      <w:r>
        <w:rPr>
          <w:rFonts w:ascii="Times New Roman" w:cs="Times New Roman" w:eastAsia="Times New Roman" w:hAnsi="Times New Roman"/>
          <w:b w:val="false"/>
          <w:bCs w:val="false"/>
          <w:i w:val="false"/>
          <w:iCs w:val="false"/>
          <w:color w:val="000000"/>
          <w:sz w:val="24"/>
          <w:szCs w:val="24"/>
        </w:rPr>
        <w:t xml:space="preserve"/>
      </w:r>
    </w:p>
    <w:p>
      <w:pPr>
        <w:spacing w:after="60" w:before="200"/>
        <w:jc w:val="left"/>
      </w:pPr>
      <w:r>
        <w:rPr>
          <w:rFonts w:ascii="Times New Roman" w:cs="Times New Roman" w:eastAsia="Times New Roman" w:hAnsi="Times New Roman"/>
          <w:b/>
          <w:bCs/>
          <w:i w:val="false"/>
          <w:iCs w:val="false"/>
          <w:color w:val="000000"/>
          <w:sz w:val="24"/>
          <w:szCs w:val="24"/>
        </w:rPr>
        <w:t xml:space="preserve">The Single Most Important Point for Leadership</w:t>
      </w:r>
    </w:p>
    <w:p>
      <w:pPr>
        <w:spacing w:after="160" w:before="0"/>
        <w:jc w:val="left"/>
      </w:pPr>
      <w:r>
        <w:rPr>
          <w:rFonts w:ascii="Times New Roman" w:cs="Times New Roman" w:eastAsia="Times New Roman" w:hAnsi="Times New Roman"/>
          <w:b w:val="false"/>
          <w:bCs w:val="false"/>
          <w:i w:val="false"/>
          <w:iCs w:val="false"/>
          <w:color w:val="000000"/>
          <w:sz w:val="24"/>
          <w:szCs w:val="24"/>
        </w:rPr>
        <w:t xml:space="preserve">Regulators — BIS, DDTC, and OFAC — all explicitly weigh the existence and quality of a compliance program when determining penalties. In the RTX case, voluntary disclosure and a compliance program reduced a potential penalty significantly. In the Seagate case, the absence of a voluntary disclosure and the continuation of sales after receiving warning signals were the primary reasons the penalty reached $300 million. The best time to build a compliance program is before a violation occurs.</w:t>
      </w:r>
    </w:p>
    <w:p>
      <w:pPr>
        <w:spacing w:after="80" w:before="0"/>
        <w:jc w:val="left"/>
      </w:pPr>
      <w:r>
        <w:rPr>
          <w:rFonts w:ascii="Times New Roman" w:cs="Times New Roman" w:eastAsia="Times New Roman" w:hAnsi="Times New Roman"/>
          <w:b w:val="false"/>
          <w:bCs w:val="false"/>
          <w:i w:val="false"/>
          <w:iCs w:val="false"/>
          <w:color w:val="000000"/>
          <w:sz w:val="24"/>
          <w:szCs w:val="24"/>
        </w:rPr>
        <w:t xml:space="preserve"/>
      </w:r>
    </w:p>
    <w:p>
      <w:pPr>
        <w:pBdr>
          <w:bottom w:val="single" w:color="000000" w:sz="6" w:space="4"/>
        </w:pBdr>
        <w:spacing w:after="80" w:before="280"/>
      </w:pPr>
      <w:r>
        <w:rPr>
          <w:rFonts w:ascii="Times New Roman" w:cs="Times New Roman" w:eastAsia="Times New Roman" w:hAnsi="Times New Roman"/>
          <w:b/>
          <w:bCs/>
          <w:color w:val="000000"/>
          <w:sz w:val="24"/>
          <w:szCs w:val="24"/>
        </w:rPr>
        <w:t xml:space="preserve">A2.  Why This Requires Board-Level Attention</w:t>
      </w:r>
    </w:p>
    <w:p>
      <w:pPr>
        <w:spacing w:after="160" w:before="0"/>
        <w:jc w:val="left"/>
      </w:pPr>
      <w:r>
        <w:rPr>
          <w:rFonts w:ascii="Times New Roman" w:cs="Times New Roman" w:eastAsia="Times New Roman" w:hAnsi="Times New Roman"/>
          <w:b w:val="false"/>
          <w:bCs w:val="false"/>
          <w:i w:val="false"/>
          <w:iCs w:val="false"/>
          <w:color w:val="000000"/>
          <w:sz w:val="24"/>
          <w:szCs w:val="24"/>
        </w:rPr>
        <w:t xml:space="preserve">Provide a plain-language overview of each regulatory regime that applies to this company. Omit programs that are not applicable and annotate those that may become relevant as the business grows.</w:t>
      </w:r>
    </w:p>
    <w:p>
      <w:pPr>
        <w:spacing w:after="80" w:before="0"/>
        <w:jc w:val="left"/>
      </w:pPr>
      <w:r>
        <w:rPr>
          <w:rFonts w:ascii="Times New Roman" w:cs="Times New Roman" w:eastAsia="Times New Roman" w:hAnsi="Times New Roman"/>
          <w:b w:val="false"/>
          <w:bCs w:val="false"/>
          <w:i w:val="false"/>
          <w:iCs w:val="false"/>
          <w:color w:val="000000"/>
          <w:sz w:val="24"/>
          <w:szCs w:val="24"/>
        </w:rPr>
        <w:t xml:space="preserve"/>
      </w:r>
    </w:p>
    <w:p>
      <w:pPr>
        <w:spacing w:after="60" w:before="200"/>
        <w:jc w:val="left"/>
      </w:pPr>
      <w:r>
        <w:rPr>
          <w:rFonts w:ascii="Times New Roman" w:cs="Times New Roman" w:eastAsia="Times New Roman" w:hAnsi="Times New Roman"/>
          <w:b/>
          <w:bCs/>
          <w:i w:val="false"/>
          <w:iCs w:val="false"/>
          <w:color w:val="000000"/>
          <w:sz w:val="24"/>
          <w:szCs w:val="24"/>
        </w:rPr>
        <w:t xml:space="preserve">ITAR — International Traffic in Arms Regulations  (22 CFR Parts 120–130)</w:t>
      </w:r>
    </w:p>
    <w:p>
      <w:pPr>
        <w:spacing w:after="160" w:before="0"/>
        <w:ind w:left="360"/>
        <w:jc w:val="left"/>
      </w:pPr>
      <w:r>
        <w:rPr>
          <w:rFonts w:ascii="Times New Roman" w:cs="Times New Roman" w:eastAsia="Times New Roman" w:hAnsi="Times New Roman"/>
          <w:b w:val="false"/>
          <w:bCs w:val="false"/>
          <w:i w:val="false"/>
          <w:iCs w:val="false"/>
          <w:color w:val="000000"/>
          <w:sz w:val="24"/>
          <w:szCs w:val="24"/>
        </w:rPr>
        <w:t xml:space="preserve">Administered by the U.S. Department of State, Directorate of Defense Trade Controls (DDTC). Controls defense articles, related technical data, and defense services listed on the U.S. Munitions List (USML). Companies that manufacture, export, or broker defense articles must register with DDTC annually. Most exports, reexports, retransfers, and many temporary imports require a license, agreement, or applicable exemption. ITAR reaches deemed exports — the release of controlled technical data to a foreign national inside the United States. Penalties: civil up to $1,271,078 per violation or twice the transaction value, whichever is greater; criminal up to $1 million and/or 20 years per violation.</w:t>
      </w:r>
    </w:p>
    <w:p>
      <w:pPr>
        <w:spacing w:after="80" w:before="0"/>
        <w:jc w:val="left"/>
      </w:pPr>
      <w:r>
        <w:rPr>
          <w:rFonts w:ascii="Times New Roman" w:cs="Times New Roman" w:eastAsia="Times New Roman" w:hAnsi="Times New Roman"/>
          <w:b w:val="false"/>
          <w:bCs w:val="false"/>
          <w:i w:val="false"/>
          <w:iCs w:val="false"/>
          <w:color w:val="000000"/>
          <w:sz w:val="24"/>
          <w:szCs w:val="24"/>
        </w:rPr>
        <w:t xml:space="preserve"/>
      </w:r>
    </w:p>
    <w:p>
      <w:pPr>
        <w:spacing w:after="60" w:before="200"/>
        <w:jc w:val="left"/>
      </w:pPr>
      <w:r>
        <w:rPr>
          <w:rFonts w:ascii="Times New Roman" w:cs="Times New Roman" w:eastAsia="Times New Roman" w:hAnsi="Times New Roman"/>
          <w:b/>
          <w:bCs/>
          <w:i w:val="false"/>
          <w:iCs w:val="false"/>
          <w:color w:val="000000"/>
          <w:sz w:val="24"/>
          <w:szCs w:val="24"/>
        </w:rPr>
        <w:t xml:space="preserve">EAR — Export Administration Regulations  (15 CFR Parts 730–774)</w:t>
      </w:r>
    </w:p>
    <w:p>
      <w:pPr>
        <w:spacing w:after="160" w:before="0"/>
        <w:ind w:left="360"/>
        <w:jc w:val="left"/>
      </w:pPr>
      <w:r>
        <w:rPr>
          <w:rFonts w:ascii="Times New Roman" w:cs="Times New Roman" w:eastAsia="Times New Roman" w:hAnsi="Times New Roman"/>
          <w:b w:val="false"/>
          <w:bCs w:val="false"/>
          <w:i w:val="false"/>
          <w:iCs w:val="false"/>
          <w:color w:val="000000"/>
          <w:sz w:val="24"/>
          <w:szCs w:val="24"/>
        </w:rPr>
        <w:t xml:space="preserve">Administered by the U.S. Department of Commerce, Bureau of Industry and Security (BIS). Controls dual-use commodities, software, and technology listed on the Commerce Control List (CCL), as well as certain military items moved from the USML. License requirements depend on the item's Export Control Classification Number (ECCN), the destination country, the end use, and the end user. Many transactions may proceed under No License Required (NLR) or a license exception — but those determinations must be made affirmatively. EAR jurisdiction extends to certain foreign-made items through the de minimis rule and the Foreign Direct Product Rules. Penalties: civil up to $364,992 per violation or twice the transaction value; criminal up to $1 million and/or 20 years.</w:t>
      </w:r>
    </w:p>
    <w:p>
      <w:pPr>
        <w:spacing w:after="80" w:before="0"/>
        <w:jc w:val="left"/>
      </w:pPr>
      <w:r>
        <w:rPr>
          <w:rFonts w:ascii="Times New Roman" w:cs="Times New Roman" w:eastAsia="Times New Roman" w:hAnsi="Times New Roman"/>
          <w:b w:val="false"/>
          <w:bCs w:val="false"/>
          <w:i w:val="false"/>
          <w:iCs w:val="false"/>
          <w:color w:val="000000"/>
          <w:sz w:val="24"/>
          <w:szCs w:val="24"/>
        </w:rPr>
        <w:t xml:space="preserve"/>
      </w:r>
    </w:p>
    <w:p>
      <w:pPr>
        <w:spacing w:after="60" w:before="200"/>
        <w:jc w:val="left"/>
      </w:pPr>
      <w:r>
        <w:rPr>
          <w:rFonts w:ascii="Times New Roman" w:cs="Times New Roman" w:eastAsia="Times New Roman" w:hAnsi="Times New Roman"/>
          <w:b/>
          <w:bCs/>
          <w:i w:val="false"/>
          <w:iCs w:val="false"/>
          <w:color w:val="000000"/>
          <w:sz w:val="24"/>
          <w:szCs w:val="24"/>
        </w:rPr>
        <w:t xml:space="preserve">OFAC — Sanctions Programs  (31 CFR)</w:t>
      </w:r>
    </w:p>
    <w:p>
      <w:pPr>
        <w:spacing w:after="160" w:before="0"/>
        <w:ind w:left="360"/>
        <w:jc w:val="left"/>
      </w:pPr>
      <w:r>
        <w:rPr>
          <w:rFonts w:ascii="Times New Roman" w:cs="Times New Roman" w:eastAsia="Times New Roman" w:hAnsi="Times New Roman"/>
          <w:b w:val="false"/>
          <w:bCs w:val="false"/>
          <w:i w:val="false"/>
          <w:iCs w:val="false"/>
          <w:color w:val="000000"/>
          <w:sz w:val="24"/>
          <w:szCs w:val="24"/>
        </w:rPr>
        <w:t xml:space="preserve">Administered by the U.S. Department of the Treasury, Office of Foreign Assets Control. Prohibits or restricts transactions involving sanctioned countries, entities, and designated individuals. Programs are comprehensive (e.g., North Korea, Iran, Cuba) or list-based (SDN List, Sectoral Sanctions). OFAC sanctions apply to U.S. persons globally and, in certain programs, to non-U.S. entities. Civil penalties are program-specific and can reach hundreds of millions of dollars in major cases. OFAC's Compliance Commitments framework explicitly weights senior management commitment as a mitigating factor.</w:t>
      </w:r>
    </w:p>
    <w:p>
      <w:pPr>
        <w:spacing w:after="80" w:before="0"/>
        <w:jc w:val="left"/>
      </w:pPr>
      <w:r>
        <w:rPr>
          <w:rFonts w:ascii="Times New Roman" w:cs="Times New Roman" w:eastAsia="Times New Roman" w:hAnsi="Times New Roman"/>
          <w:b w:val="false"/>
          <w:bCs w:val="false"/>
          <w:i w:val="false"/>
          <w:iCs w:val="false"/>
          <w:color w:val="000000"/>
          <w:sz w:val="24"/>
          <w:szCs w:val="24"/>
        </w:rPr>
        <w:t xml:space="preserve"/>
      </w:r>
    </w:p>
    <w:p>
      <w:pPr>
        <w:spacing w:after="60" w:before="200"/>
        <w:jc w:val="left"/>
      </w:pPr>
      <w:r>
        <w:rPr>
          <w:rFonts w:ascii="Times New Roman" w:cs="Times New Roman" w:eastAsia="Times New Roman" w:hAnsi="Times New Roman"/>
          <w:b/>
          <w:bCs/>
          <w:i w:val="false"/>
          <w:iCs w:val="false"/>
          <w:color w:val="000000"/>
          <w:sz w:val="24"/>
          <w:szCs w:val="24"/>
        </w:rPr>
        <w:t xml:space="preserve">FTR — Foreign Trade Regulations  (15 CFR Part 30)</w:t>
      </w:r>
    </w:p>
    <w:p>
      <w:pPr>
        <w:spacing w:after="160" w:before="0"/>
        <w:ind w:left="360"/>
        <w:jc w:val="left"/>
      </w:pPr>
      <w:r>
        <w:rPr>
          <w:rFonts w:ascii="Times New Roman" w:cs="Times New Roman" w:eastAsia="Times New Roman" w:hAnsi="Times New Roman"/>
          <w:b w:val="false"/>
          <w:bCs w:val="false"/>
          <w:i w:val="false"/>
          <w:iCs w:val="false"/>
          <w:color w:val="000000"/>
          <w:sz w:val="24"/>
          <w:szCs w:val="24"/>
        </w:rPr>
        <w:t xml:space="preserve">Administered by the U.S. Census Bureau and U.S. Customs and Border Protection. Requires Electronic Export Information (EEI) filing in the Automated Export System (AES) for qualifying shipments. Requires accurate Schedule B classification and export authorization citations. Penalties for incorrect or missing filings can be imposed independently of other export control violations.</w:t>
      </w:r>
    </w:p>
    <w:p>
      <w:pPr>
        <w:spacing w:after="80" w:before="0"/>
        <w:jc w:val="left"/>
      </w:pPr>
      <w:r>
        <w:rPr>
          <w:rFonts w:ascii="Times New Roman" w:cs="Times New Roman" w:eastAsia="Times New Roman" w:hAnsi="Times New Roman"/>
          <w:b w:val="false"/>
          <w:bCs w:val="false"/>
          <w:i w:val="false"/>
          <w:iCs w:val="false"/>
          <w:color w:val="000000"/>
          <w:sz w:val="24"/>
          <w:szCs w:val="24"/>
        </w:rPr>
        <w:t xml:space="preserve"/>
      </w:r>
    </w:p>
    <w:p>
      <w:pPr>
        <w:pBdr>
          <w:bottom w:val="single" w:color="000000" w:sz="6" w:space="4"/>
        </w:pBdr>
        <w:spacing w:after="80" w:before="280"/>
      </w:pPr>
      <w:r>
        <w:rPr>
          <w:rFonts w:ascii="Times New Roman" w:cs="Times New Roman" w:eastAsia="Times New Roman" w:hAnsi="Times New Roman"/>
          <w:b/>
          <w:bCs/>
          <w:color w:val="000000"/>
          <w:sz w:val="24"/>
          <w:szCs w:val="24"/>
        </w:rPr>
        <w:t xml:space="preserve">A3.  Company-Specific Obligations — What Applies Here</w:t>
      </w:r>
    </w:p>
    <w:p>
      <w:pPr>
        <w:spacing w:after="160" w:before="0"/>
        <w:jc w:val="left"/>
      </w:pPr>
      <w:r>
        <w:rPr>
          <w:rFonts w:ascii="Times New Roman" w:cs="Times New Roman" w:eastAsia="Times New Roman" w:hAnsi="Times New Roman"/>
          <w:b w:val="false"/>
          <w:bCs w:val="false"/>
          <w:i w:val="false"/>
          <w:iCs w:val="false"/>
          <w:color w:val="000000"/>
          <w:sz w:val="24"/>
          <w:szCs w:val="24"/>
        </w:rPr>
        <w:t xml:space="preserve">Summarize the company's actual regulatory exposure based on its products, services, customers, and markets. Be specific; avoid generic descriptions. This section should be customized for each presentation.</w:t>
      </w:r>
    </w:p>
    <w:p>
      <w:pPr>
        <w:spacing w:after="80" w:before="0"/>
        <w:jc w:val="left"/>
      </w:pPr>
      <w:r>
        <w:rPr>
          <w:rFonts w:ascii="Times New Roman" w:cs="Times New Roman" w:eastAsia="Times New Roman" w:hAnsi="Times New Roman"/>
          <w:b w:val="false"/>
          <w:bCs w:val="false"/>
          <w:i w:val="false"/>
          <w:iCs w:val="false"/>
          <w:color w:val="000000"/>
          <w:sz w:val="24"/>
          <w:szCs w:val="2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BBBBBB" w:sz="1"/>
              <w:left w:val="single" w:color="BBBBBB" w:sz="1"/>
              <w:bottom w:val="single" w:color="BBBBBB" w:sz="1"/>
              <w:right w:val="single" w:color="BBBBBB" w:sz="1"/>
            </w:tcBorders>
            <w:shd w:fill="EEEEEE" w:val="clear"/>
            <w:tcMar>
              <w:top w:type="dxa" w:w="80"/>
              <w:left w:type="dxa" w:w="100"/>
              <w:bottom w:type="dxa" w:w="80"/>
              <w:right w:type="dxa" w:w="100"/>
            </w:tcMar>
          </w:tcPr>
          <w:p>
            <w:pPr>
              <w:spacing w:after="0" w:before="0"/>
              <w:jc w:val="left"/>
            </w:pPr>
            <w:r>
              <w:rPr>
                <w:rFonts w:ascii="Times New Roman" w:cs="Times New Roman" w:eastAsia="Times New Roman" w:hAnsi="Times New Roman"/>
                <w:b/>
                <w:bCs/>
                <w:i w:val="false"/>
                <w:iCs w:val="false"/>
                <w:color w:val="000000"/>
                <w:sz w:val="22"/>
                <w:szCs w:val="22"/>
              </w:rPr>
              <w:t xml:space="preserve">Area</w:t>
            </w:r>
          </w:p>
        </w:tc>
        <w:tc>
          <w:tcPr>
            <w:tcW w:type="dxa" w:w="6160"/>
            <w:tcBorders>
              <w:top w:val="single" w:color="BBBBBB" w:sz="1"/>
              <w:left w:val="single" w:color="BBBBBB" w:sz="1"/>
              <w:bottom w:val="single" w:color="BBBBBB" w:sz="1"/>
              <w:right w:val="single" w:color="BBBBBB" w:sz="1"/>
            </w:tcBorders>
            <w:shd w:fill="EEEEEE" w:val="clear"/>
            <w:tcMar>
              <w:top w:type="dxa" w:w="80"/>
              <w:left w:type="dxa" w:w="100"/>
              <w:bottom w:type="dxa" w:w="80"/>
              <w:right w:type="dxa" w:w="100"/>
            </w:tcMar>
          </w:tcPr>
          <w:p>
            <w:pPr>
              <w:spacing w:after="0" w:before="0"/>
              <w:jc w:val="left"/>
            </w:pPr>
            <w:r>
              <w:rPr>
                <w:rFonts w:ascii="Times New Roman" w:cs="Times New Roman" w:eastAsia="Times New Roman" w:hAnsi="Times New Roman"/>
                <w:b/>
                <w:bCs/>
                <w:i w:val="false"/>
                <w:iCs w:val="false"/>
                <w:color w:val="000000"/>
                <w:sz w:val="22"/>
                <w:szCs w:val="22"/>
              </w:rPr>
              <w:t xml:space="preserve">Company Status</w:t>
            </w:r>
          </w:p>
        </w:tc>
      </w:tr>
      <w:tr>
        <w:tc>
          <w:tcPr>
            <w:tcW w:type="dxa" w:w="32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ITAR applicability</w:t>
            </w:r>
          </w:p>
        </w:tc>
        <w:tc>
          <w:tcPr>
            <w:tcW w:type="dxa" w:w="616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[Yes — USML Categories ___, ___  /  Not applicable — basis: ___]</w:t>
            </w:r>
          </w:p>
        </w:tc>
      </w:tr>
      <w:tr>
        <w:tc>
          <w:tcPr>
            <w:tcW w:type="dxa" w:w="32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EAR applicability</w:t>
            </w:r>
          </w:p>
        </w:tc>
        <w:tc>
          <w:tcPr>
            <w:tcW w:type="dxa" w:w="616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[Yes — key ECCNs include ___  /  EAR99 items  /  Both]</w:t>
            </w:r>
          </w:p>
        </w:tc>
      </w:tr>
      <w:tr>
        <w:tc>
          <w:tcPr>
            <w:tcW w:type="dxa" w:w="32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OFAC applicability</w:t>
            </w:r>
          </w:p>
        </w:tc>
        <w:tc>
          <w:tcPr>
            <w:tcW w:type="dxa" w:w="616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[Yes — markets or counterparties in ___  /  Financial transactions through U.S. system]</w:t>
            </w:r>
          </w:p>
        </w:tc>
      </w:tr>
      <w:tr>
        <w:tc>
          <w:tcPr>
            <w:tcW w:type="dxa" w:w="32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FTR / AES filing</w:t>
            </w:r>
          </w:p>
        </w:tc>
        <w:tc>
          <w:tcPr>
            <w:tcW w:type="dxa" w:w="616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[Yes — exports exceed filing thresholds  /  All physical exports]</w:t>
            </w:r>
          </w:p>
        </w:tc>
      </w:tr>
      <w:tr>
        <w:tc>
          <w:tcPr>
            <w:tcW w:type="dxa" w:w="32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Foreign national access</w:t>
            </w:r>
          </w:p>
        </w:tc>
        <w:tc>
          <w:tcPr>
            <w:tcW w:type="dxa" w:w="616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[Yes — ___ employees or visitors access controlled data  /  No]</w:t>
            </w:r>
          </w:p>
        </w:tc>
      </w:tr>
      <w:tr>
        <w:tc>
          <w:tcPr>
            <w:tcW w:type="dxa" w:w="32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Deemed export exposure</w:t>
            </w:r>
          </w:p>
        </w:tc>
        <w:tc>
          <w:tcPr>
            <w:tcW w:type="dxa" w:w="616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[Yes — describe  /  Low — basis: ___]</w:t>
            </w:r>
          </w:p>
        </w:tc>
      </w:tr>
      <w:tr>
        <w:tc>
          <w:tcPr>
            <w:tcW w:type="dxa" w:w="32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Brokering activities (ITAR)</w:t>
            </w:r>
          </w:p>
        </w:tc>
        <w:tc>
          <w:tcPr>
            <w:tcW w:type="dxa" w:w="616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[Yes — Part 129 registration required  /  Not applicable]</w:t>
            </w:r>
          </w:p>
        </w:tc>
      </w:tr>
      <w:tr>
        <w:tc>
          <w:tcPr>
            <w:tcW w:type="dxa" w:w="32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Highest-risk business activity</w:t>
            </w:r>
          </w:p>
        </w:tc>
        <w:tc>
          <w:tcPr>
            <w:tcW w:type="dxa" w:w="616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[Describe the two or three activities creating the most compliance exposure]</w:t>
            </w:r>
          </w:p>
        </w:tc>
      </w:tr>
    </w:tbl>
    <w:p>
      <w:pPr>
        <w:spacing w:after="160" w:before="0"/>
        <w:jc w:val="left"/>
      </w:pPr>
      <w:r>
        <w:rPr>
          <w:rFonts w:ascii="Times New Roman" w:cs="Times New Roman" w:eastAsia="Times New Roman" w:hAnsi="Times New Roman"/>
          <w:b w:val="false"/>
          <w:bCs w:val="false"/>
          <w:i w:val="false"/>
          <w:iCs w:val="false"/>
          <w:color w:val="000000"/>
          <w:sz w:val="24"/>
          <w:szCs w:val="24"/>
        </w:rPr>
        <w:t xml:space="preserve"/>
      </w:r>
    </w:p>
    <w:p>
      <w:pPr>
        <w:pBdr>
          <w:bottom w:val="single" w:color="000000" w:sz="6" w:space="4"/>
        </w:pBdr>
        <w:spacing w:after="80" w:before="280"/>
      </w:pPr>
      <w:r>
        <w:rPr>
          <w:rFonts w:ascii="Times New Roman" w:cs="Times New Roman" w:eastAsia="Times New Roman" w:hAnsi="Times New Roman"/>
          <w:b/>
          <w:bCs/>
          <w:color w:val="000000"/>
          <w:sz w:val="24"/>
          <w:szCs w:val="24"/>
        </w:rPr>
        <w:t xml:space="preserve">A4.  Program Structure — What Is Being Built</w:t>
      </w:r>
    </w:p>
    <w:p>
      <w:pPr>
        <w:spacing w:after="160" w:before="0"/>
        <w:jc w:val="left"/>
      </w:pPr>
      <w:r>
        <w:rPr>
          <w:rFonts w:ascii="Times New Roman" w:cs="Times New Roman" w:eastAsia="Times New Roman" w:hAnsi="Times New Roman"/>
          <w:b w:val="false"/>
          <w:bCs w:val="false"/>
          <w:i w:val="false"/>
          <w:iCs w:val="false"/>
          <w:color w:val="000000"/>
          <w:sz w:val="24"/>
          <w:szCs w:val="24"/>
        </w:rPr>
        <w:t xml:space="preserve">Present the compliance program structure to leadership. This is the moment to obtain visible endorsement and confirm resource commitments. Use the status column to show current state honestly.</w:t>
      </w:r>
    </w:p>
    <w:p>
      <w:pPr>
        <w:spacing w:after="80" w:before="0"/>
        <w:jc w:val="left"/>
      </w:pPr>
      <w:r>
        <w:rPr>
          <w:rFonts w:ascii="Times New Roman" w:cs="Times New Roman" w:eastAsia="Times New Roman" w:hAnsi="Times New Roman"/>
          <w:b w:val="false"/>
          <w:bCs w:val="false"/>
          <w:i w:val="false"/>
          <w:iCs w:val="false"/>
          <w:color w:val="000000"/>
          <w:sz w:val="24"/>
          <w:szCs w:val="2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2000"/>
        <w:gridCol w:w="3760"/>
      </w:tblGrid>
      <w:tr>
        <w:tc>
          <w:tcPr>
            <w:tcW w:type="dxa" w:w="3600"/>
            <w:tcBorders>
              <w:top w:val="single" w:color="BBBBBB" w:sz="1"/>
              <w:left w:val="single" w:color="BBBBBB" w:sz="1"/>
              <w:bottom w:val="single" w:color="BBBBBB" w:sz="1"/>
              <w:right w:val="single" w:color="BBBBBB" w:sz="1"/>
            </w:tcBorders>
            <w:shd w:fill="EEEEEE" w:val="clear"/>
            <w:tcMar>
              <w:top w:type="dxa" w:w="80"/>
              <w:left w:type="dxa" w:w="100"/>
              <w:bottom w:type="dxa" w:w="80"/>
              <w:right w:type="dxa" w:w="100"/>
            </w:tcMar>
          </w:tcPr>
          <w:p>
            <w:pPr>
              <w:spacing w:after="0" w:before="0"/>
              <w:jc w:val="left"/>
            </w:pPr>
            <w:r>
              <w:rPr>
                <w:rFonts w:ascii="Times New Roman" w:cs="Times New Roman" w:eastAsia="Times New Roman" w:hAnsi="Times New Roman"/>
                <w:b/>
                <w:bCs/>
                <w:i w:val="false"/>
                <w:iCs w:val="false"/>
                <w:color w:val="000000"/>
                <w:sz w:val="22"/>
                <w:szCs w:val="22"/>
              </w:rPr>
              <w:t xml:space="preserve">Program Element</w:t>
            </w:r>
          </w:p>
        </w:tc>
        <w:tc>
          <w:tcPr>
            <w:tcW w:type="dxa" w:w="2000"/>
            <w:tcBorders>
              <w:top w:val="single" w:color="BBBBBB" w:sz="1"/>
              <w:left w:val="single" w:color="BBBBBB" w:sz="1"/>
              <w:bottom w:val="single" w:color="BBBBBB" w:sz="1"/>
              <w:right w:val="single" w:color="BBBBBB" w:sz="1"/>
            </w:tcBorders>
            <w:shd w:fill="EEEEEE" w:val="clear"/>
            <w:tcMar>
              <w:top w:type="dxa" w:w="80"/>
              <w:left w:type="dxa" w:w="100"/>
              <w:bottom w:type="dxa" w:w="80"/>
              <w:right w:type="dxa" w:w="100"/>
            </w:tcMar>
          </w:tcPr>
          <w:p>
            <w:pPr>
              <w:spacing w:after="0" w:before="0"/>
              <w:jc w:val="left"/>
            </w:pPr>
            <w:r>
              <w:rPr>
                <w:rFonts w:ascii="Times New Roman" w:cs="Times New Roman" w:eastAsia="Times New Roman" w:hAnsi="Times New Roman"/>
                <w:b/>
                <w:bCs/>
                <w:i w:val="false"/>
                <w:iCs w:val="false"/>
                <w:color w:val="000000"/>
                <w:sz w:val="22"/>
                <w:szCs w:val="22"/>
              </w:rPr>
              <w:t xml:space="preserve">Current Status</w:t>
            </w:r>
          </w:p>
        </w:tc>
        <w:tc>
          <w:tcPr>
            <w:tcW w:type="dxa" w:w="3760"/>
            <w:tcBorders>
              <w:top w:val="single" w:color="BBBBBB" w:sz="1"/>
              <w:left w:val="single" w:color="BBBBBB" w:sz="1"/>
              <w:bottom w:val="single" w:color="BBBBBB" w:sz="1"/>
              <w:right w:val="single" w:color="BBBBBB" w:sz="1"/>
            </w:tcBorders>
            <w:shd w:fill="EEEEEE" w:val="clear"/>
            <w:tcMar>
              <w:top w:type="dxa" w:w="80"/>
              <w:left w:type="dxa" w:w="100"/>
              <w:bottom w:type="dxa" w:w="80"/>
              <w:right w:type="dxa" w:w="100"/>
            </w:tcMar>
          </w:tcPr>
          <w:p>
            <w:pPr>
              <w:spacing w:after="0" w:before="0"/>
              <w:jc w:val="left"/>
            </w:pPr>
            <w:r>
              <w:rPr>
                <w:rFonts w:ascii="Times New Roman" w:cs="Times New Roman" w:eastAsia="Times New Roman" w:hAnsi="Times New Roman"/>
                <w:b/>
                <w:bCs/>
                <w:i w:val="false"/>
                <w:iCs w:val="false"/>
                <w:color w:val="000000"/>
                <w:sz w:val="22"/>
                <w:szCs w:val="22"/>
              </w:rPr>
              <w:t xml:space="preserve">Owner / Timeline</w:t>
            </w:r>
          </w:p>
        </w:tc>
      </w:tr>
      <w:tr>
        <w:tc>
          <w:tcPr>
            <w:tcW w:type="dxa" w:w="36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Written compliance policy (ECP-GOV-002)</w:t>
            </w:r>
          </w:p>
        </w:tc>
        <w:tc>
          <w:tcPr>
            <w:tcW w:type="dxa" w:w="20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[In place / In progress / Not started]</w:t>
            </w:r>
          </w:p>
        </w:tc>
        <w:tc>
          <w:tcPr>
            <w:tcW w:type="dxa" w:w="376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
            </w:r>
          </w:p>
        </w:tc>
      </w:tr>
      <w:tr>
        <w:tc>
          <w:tcPr>
            <w:tcW w:type="dxa" w:w="36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Empowered Official designation (ITAR)</w:t>
            </w:r>
          </w:p>
        </w:tc>
        <w:tc>
          <w:tcPr>
            <w:tcW w:type="dxa" w:w="20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[In place / N/A]</w:t>
            </w:r>
          </w:p>
        </w:tc>
        <w:tc>
          <w:tcPr>
            <w:tcW w:type="dxa" w:w="376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
            </w:r>
          </w:p>
        </w:tc>
      </w:tr>
      <w:tr>
        <w:tc>
          <w:tcPr>
            <w:tcW w:type="dxa" w:w="36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Jurisdiction and classification procedures</w:t>
            </w:r>
          </w:p>
        </w:tc>
        <w:tc>
          <w:tcPr>
            <w:tcW w:type="dxa" w:w="20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[In place / In progress / Not started]</w:t>
            </w:r>
          </w:p>
        </w:tc>
        <w:tc>
          <w:tcPr>
            <w:tcW w:type="dxa" w:w="376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
            </w:r>
          </w:p>
        </w:tc>
      </w:tr>
      <w:tr>
        <w:tc>
          <w:tcPr>
            <w:tcW w:type="dxa" w:w="36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License determination process</w:t>
            </w:r>
          </w:p>
        </w:tc>
        <w:tc>
          <w:tcPr>
            <w:tcW w:type="dxa" w:w="20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[In place / In progress / Not started]</w:t>
            </w:r>
          </w:p>
        </w:tc>
        <w:tc>
          <w:tcPr>
            <w:tcW w:type="dxa" w:w="376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
            </w:r>
          </w:p>
        </w:tc>
      </w:tr>
      <w:tr>
        <w:tc>
          <w:tcPr>
            <w:tcW w:type="dxa" w:w="36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Denied party screening (DPS)</w:t>
            </w:r>
          </w:p>
        </w:tc>
        <w:tc>
          <w:tcPr>
            <w:tcW w:type="dxa" w:w="20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[In place / In progress / Not started]</w:t>
            </w:r>
          </w:p>
        </w:tc>
        <w:tc>
          <w:tcPr>
            <w:tcW w:type="dxa" w:w="376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
            </w:r>
          </w:p>
        </w:tc>
      </w:tr>
      <w:tr>
        <w:tc>
          <w:tcPr>
            <w:tcW w:type="dxa" w:w="36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Technology Control Plan (ITAR)</w:t>
            </w:r>
          </w:p>
        </w:tc>
        <w:tc>
          <w:tcPr>
            <w:tcW w:type="dxa" w:w="20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[In place / N/A]</w:t>
            </w:r>
          </w:p>
        </w:tc>
        <w:tc>
          <w:tcPr>
            <w:tcW w:type="dxa" w:w="376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
            </w:r>
          </w:p>
        </w:tc>
      </w:tr>
      <w:tr>
        <w:tc>
          <w:tcPr>
            <w:tcW w:type="dxa" w:w="36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Employee training — Level 1 (all staff)</w:t>
            </w:r>
          </w:p>
        </w:tc>
        <w:tc>
          <w:tcPr>
            <w:tcW w:type="dxa" w:w="20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[In place / In progress / Not started]</w:t>
            </w:r>
          </w:p>
        </w:tc>
        <w:tc>
          <w:tcPr>
            <w:tcW w:type="dxa" w:w="376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
            </w:r>
          </w:p>
        </w:tc>
      </w:tr>
      <w:tr>
        <w:tc>
          <w:tcPr>
            <w:tcW w:type="dxa" w:w="36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Employee training — Level 2 (compliance team)</w:t>
            </w:r>
          </w:p>
        </w:tc>
        <w:tc>
          <w:tcPr>
            <w:tcW w:type="dxa" w:w="20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[In place / In progress / Not started]</w:t>
            </w:r>
          </w:p>
        </w:tc>
        <w:tc>
          <w:tcPr>
            <w:tcW w:type="dxa" w:w="376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
            </w:r>
          </w:p>
        </w:tc>
      </w:tr>
      <w:tr>
        <w:tc>
          <w:tcPr>
            <w:tcW w:type="dxa" w:w="36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Recordkeeping procedures</w:t>
            </w:r>
          </w:p>
        </w:tc>
        <w:tc>
          <w:tcPr>
            <w:tcW w:type="dxa" w:w="20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[In place / In progress / Not started]</w:t>
            </w:r>
          </w:p>
        </w:tc>
        <w:tc>
          <w:tcPr>
            <w:tcW w:type="dxa" w:w="376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
            </w:r>
          </w:p>
        </w:tc>
      </w:tr>
      <w:tr>
        <w:tc>
          <w:tcPr>
            <w:tcW w:type="dxa" w:w="36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Incident and violation reporting procedure</w:t>
            </w:r>
          </w:p>
        </w:tc>
        <w:tc>
          <w:tcPr>
            <w:tcW w:type="dxa" w:w="20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[In place / In progress / Not started]</w:t>
            </w:r>
          </w:p>
        </w:tc>
        <w:tc>
          <w:tcPr>
            <w:tcW w:type="dxa" w:w="376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
            </w:r>
          </w:p>
        </w:tc>
      </w:tr>
      <w:tr>
        <w:tc>
          <w:tcPr>
            <w:tcW w:type="dxa" w:w="36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Audit and monitoring plan</w:t>
            </w:r>
          </w:p>
        </w:tc>
        <w:tc>
          <w:tcPr>
            <w:tcW w:type="dxa" w:w="20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[In place / In progress / Not started]</w:t>
            </w:r>
          </w:p>
        </w:tc>
        <w:tc>
          <w:tcPr>
            <w:tcW w:type="dxa" w:w="376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
            </w:r>
          </w:p>
        </w:tc>
      </w:tr>
    </w:tbl>
    <w:p>
      <w:pPr>
        <w:spacing w:after="160" w:before="0"/>
        <w:jc w:val="left"/>
      </w:pPr>
      <w:r>
        <w:rPr>
          <w:rFonts w:ascii="Times New Roman" w:cs="Times New Roman" w:eastAsia="Times New Roman" w:hAnsi="Times New Roman"/>
          <w:b w:val="false"/>
          <w:bCs w:val="false"/>
          <w:i w:val="false"/>
          <w:iCs w:val="false"/>
          <w:color w:val="000000"/>
          <w:sz w:val="24"/>
          <w:szCs w:val="24"/>
        </w:rPr>
        <w:t xml:space="preserve"/>
      </w:r>
    </w:p>
    <w:p>
      <w:pPr>
        <w:pBdr>
          <w:bottom w:val="single" w:color="000000" w:sz="6" w:space="4"/>
        </w:pBdr>
        <w:spacing w:after="80" w:before="280"/>
      </w:pPr>
      <w:r>
        <w:rPr>
          <w:rFonts w:ascii="Times New Roman" w:cs="Times New Roman" w:eastAsia="Times New Roman" w:hAnsi="Times New Roman"/>
          <w:b/>
          <w:bCs/>
          <w:color w:val="000000"/>
          <w:sz w:val="24"/>
          <w:szCs w:val="24"/>
        </w:rPr>
        <w:t xml:space="preserve">A5.  Tier 1 — Immediate Actions and Decisions Required</w:t>
      </w:r>
    </w:p>
    <w:p>
      <w:pPr>
        <w:spacing w:after="160" w:before="0"/>
        <w:jc w:val="left"/>
      </w:pPr>
      <w:r>
        <w:rPr>
          <w:rFonts w:ascii="Times New Roman" w:cs="Times New Roman" w:eastAsia="Times New Roman" w:hAnsi="Times New Roman"/>
          <w:b w:val="false"/>
          <w:bCs w:val="false"/>
          <w:i w:val="false"/>
          <w:iCs w:val="false"/>
          <w:color w:val="000000"/>
          <w:sz w:val="24"/>
          <w:szCs w:val="24"/>
        </w:rPr>
        <w:t xml:space="preserve">Present the items that must be implemented before the next export transaction, and request leadership sign-off on the plan, resources, and designated personnel.</w:t>
      </w:r>
    </w:p>
    <w:p>
      <w:pPr>
        <w:pStyle w:val="ListParagraph"/>
        <w:numPr>
          <w:ilvl w:val="0"/>
          <w:numId w:val="2"/>
        </w:numPr>
        <w:spacing w:after="80" w:before="0"/>
      </w:pPr>
      <w:r>
        <w:rPr>
          <w:rFonts w:ascii="Times New Roman" w:cs="Times New Roman" w:eastAsia="Times New Roman" w:hAnsi="Times New Roman"/>
          <w:sz w:val="24"/>
          <w:szCs w:val="24"/>
        </w:rPr>
        <w:t xml:space="preserve">Execute the Leadership Commitment Statement (ECP-GOV-001) — requires CEO or President signature.</w:t>
      </w:r>
    </w:p>
    <w:p>
      <w:pPr>
        <w:pStyle w:val="ListParagraph"/>
        <w:numPr>
          <w:ilvl w:val="0"/>
          <w:numId w:val="2"/>
        </w:numPr>
        <w:spacing w:after="80" w:before="0"/>
      </w:pPr>
      <w:r>
        <w:rPr>
          <w:rFonts w:ascii="Times New Roman" w:cs="Times New Roman" w:eastAsia="Times New Roman" w:hAnsi="Times New Roman"/>
          <w:sz w:val="24"/>
          <w:szCs w:val="24"/>
        </w:rPr>
        <w:t xml:space="preserve">Approve the Export Compliance Policy (ECP-GOV-002) — requires senior management dual signature.</w:t>
      </w:r>
    </w:p>
    <w:p>
      <w:pPr>
        <w:pStyle w:val="ListParagraph"/>
        <w:numPr>
          <w:ilvl w:val="0"/>
          <w:numId w:val="2"/>
        </w:numPr>
        <w:spacing w:after="80" w:before="0"/>
      </w:pPr>
      <w:r>
        <w:rPr>
          <w:rFonts w:ascii="Times New Roman" w:cs="Times New Roman" w:eastAsia="Times New Roman" w:hAnsi="Times New Roman"/>
          <w:sz w:val="24"/>
          <w:szCs w:val="24"/>
        </w:rPr>
        <w:t xml:space="preserve">Formally designate the Empowered Official (ITAR-regulated entities only) — requires senior officer authorization (ECP-ITAR-001).</w:t>
      </w:r>
    </w:p>
    <w:p>
      <w:pPr>
        <w:pStyle w:val="ListParagraph"/>
        <w:numPr>
          <w:ilvl w:val="0"/>
          <w:numId w:val="2"/>
        </w:numPr>
        <w:spacing w:after="80" w:before="0"/>
      </w:pPr>
      <w:r>
        <w:rPr>
          <w:rFonts w:ascii="Times New Roman" w:cs="Times New Roman" w:eastAsia="Times New Roman" w:hAnsi="Times New Roman"/>
          <w:sz w:val="24"/>
          <w:szCs w:val="24"/>
        </w:rPr>
        <w:t xml:space="preserve">Confirm the compliance program budget and dedicate qualified personnel to the compliance function.</w:t>
      </w:r>
    </w:p>
    <w:p>
      <w:pPr>
        <w:pStyle w:val="ListParagraph"/>
        <w:numPr>
          <w:ilvl w:val="0"/>
          <w:numId w:val="2"/>
        </w:numPr>
        <w:spacing w:after="80" w:before="0"/>
      </w:pPr>
      <w:r>
        <w:rPr>
          <w:rFonts w:ascii="Times New Roman" w:cs="Times New Roman" w:eastAsia="Times New Roman" w:hAnsi="Times New Roman"/>
          <w:sz w:val="24"/>
          <w:szCs w:val="24"/>
        </w:rPr>
        <w:t xml:space="preserve">Complete denied party screening integration before any new export transactions.</w:t>
      </w:r>
    </w:p>
    <w:p>
      <w:pPr>
        <w:pStyle w:val="ListParagraph"/>
        <w:numPr>
          <w:ilvl w:val="0"/>
          <w:numId w:val="2"/>
        </w:numPr>
        <w:spacing w:after="80" w:before="0"/>
      </w:pPr>
      <w:r>
        <w:rPr>
          <w:rFonts w:ascii="Times New Roman" w:cs="Times New Roman" w:eastAsia="Times New Roman" w:hAnsi="Times New Roman"/>
          <w:sz w:val="24"/>
          <w:szCs w:val="24"/>
        </w:rPr>
        <w:t xml:space="preserve">[Add any other immediate actions specific to this company.]</w:t>
      </w:r>
    </w:p>
    <w:p>
      <w:pPr>
        <w:spacing w:after="120" w:before="0"/>
        <w:jc w:val="left"/>
      </w:pPr>
      <w:r>
        <w:rPr>
          <w:rFonts w:ascii="Times New Roman" w:cs="Times New Roman" w:eastAsia="Times New Roman" w:hAnsi="Times New Roman"/>
          <w:b w:val="false"/>
          <w:bCs w:val="false"/>
          <w:i w:val="false"/>
          <w:iCs w:val="false"/>
          <w:color w:val="000000"/>
          <w:sz w:val="24"/>
          <w:szCs w:val="24"/>
        </w:rPr>
        <w:t xml:space="preserve"/>
      </w:r>
    </w:p>
    <w:p>
      <w:pPr>
        <w:spacing w:after="160" w:before="0"/>
        <w:jc w:val="left"/>
      </w:pPr>
      <w:r>
        <w:rPr>
          <w:rFonts w:ascii="Times New Roman" w:cs="Times New Roman" w:eastAsia="Times New Roman" w:hAnsi="Times New Roman"/>
          <w:b w:val="false"/>
          <w:bCs w:val="false"/>
          <w:i w:val="false"/>
          <w:iCs w:val="false"/>
          <w:color w:val="000000"/>
          <w:sz w:val="24"/>
          <w:szCs w:val="24"/>
        </w:rPr>
        <w:t xml:space="preserve">Decision requested from leadership:  Approval of the implementation plan and budget, confirmation of designated responsible parties, and execution of the Leadership Commitment Statement.</w:t>
      </w:r>
    </w:p>
    <w:p>
      <w:pPr>
        <w:spacing w:after="80" w:before="0"/>
        <w:jc w:val="left"/>
      </w:pPr>
      <w:r>
        <w:rPr>
          <w:rFonts w:ascii="Times New Roman" w:cs="Times New Roman" w:eastAsia="Times New Roman" w:hAnsi="Times New Roman"/>
          <w:b w:val="false"/>
          <w:bCs w:val="false"/>
          <w:i w:val="false"/>
          <w:iCs w:val="false"/>
          <w:color w:val="000000"/>
          <w:sz w:val="24"/>
          <w:szCs w:val="24"/>
        </w:rPr>
        <w:t xml:space="preserve"/>
      </w:r>
    </w:p>
    <w:p>
      <w:pPr>
        <w:pBdr>
          <w:bottom w:val="single" w:color="000000" w:sz="6" w:space="4"/>
        </w:pBdr>
        <w:spacing w:after="80" w:before="280"/>
      </w:pPr>
      <w:r>
        <w:rPr>
          <w:rFonts w:ascii="Times New Roman" w:cs="Times New Roman" w:eastAsia="Times New Roman" w:hAnsi="Times New Roman"/>
          <w:b/>
          <w:bCs/>
          <w:color w:val="000000"/>
          <w:sz w:val="24"/>
          <w:szCs w:val="24"/>
        </w:rPr>
        <w:t xml:space="preserve">A6.  Decision and Commitment Requested</w:t>
      </w:r>
    </w:p>
    <w:p>
      <w:pPr>
        <w:spacing w:after="160" w:before="0"/>
        <w:jc w:val="left"/>
      </w:pPr>
      <w:r>
        <w:rPr>
          <w:rFonts w:ascii="Times New Roman" w:cs="Times New Roman" w:eastAsia="Times New Roman" w:hAnsi="Times New Roman"/>
          <w:b w:val="false"/>
          <w:bCs w:val="false"/>
          <w:i w:val="false"/>
          <w:iCs w:val="false"/>
          <w:color w:val="000000"/>
          <w:sz w:val="24"/>
          <w:szCs w:val="24"/>
        </w:rPr>
        <w:t xml:space="preserve">Having reviewed the regulatory landscape, the company's specific obligations, and the consequences of non-compliance, we are requesting the following from leadership today:</w:t>
      </w:r>
    </w:p>
    <w:p>
      <w:pPr>
        <w:pStyle w:val="ListParagraph"/>
        <w:numPr>
          <w:ilvl w:val="0"/>
          <w:numId w:val="2"/>
        </w:numPr>
        <w:spacing w:after="80" w:before="0"/>
      </w:pPr>
      <w:r>
        <w:rPr>
          <w:rFonts w:ascii="Times New Roman" w:cs="Times New Roman" w:eastAsia="Times New Roman" w:hAnsi="Times New Roman"/>
          <w:sz w:val="24"/>
          <w:szCs w:val="24"/>
        </w:rPr>
        <w:t xml:space="preserve">Signature of the Leadership Commitment Statement (ECP-GOV-001) — signals to all employees, regulators, and counterparties that compliance is a board-level priority.</w:t>
      </w:r>
    </w:p>
    <w:p>
      <w:pPr>
        <w:pStyle w:val="ListParagraph"/>
        <w:numPr>
          <w:ilvl w:val="0"/>
          <w:numId w:val="2"/>
        </w:numPr>
        <w:spacing w:after="80" w:before="0"/>
      </w:pPr>
      <w:r>
        <w:rPr>
          <w:rFonts w:ascii="Times New Roman" w:cs="Times New Roman" w:eastAsia="Times New Roman" w:hAnsi="Times New Roman"/>
          <w:sz w:val="24"/>
          <w:szCs w:val="24"/>
        </w:rPr>
        <w:t xml:space="preserve">Approval of the Export Compliance Policy (ECP-GOV-002) — establishes the written foundation required by all four regulatory frameworks.</w:t>
      </w:r>
    </w:p>
    <w:p>
      <w:pPr>
        <w:pStyle w:val="ListParagraph"/>
        <w:numPr>
          <w:ilvl w:val="0"/>
          <w:numId w:val="2"/>
        </w:numPr>
        <w:spacing w:after="80" w:before="0"/>
      </w:pPr>
      <w:r>
        <w:rPr>
          <w:rFonts w:ascii="Times New Roman" w:cs="Times New Roman" w:eastAsia="Times New Roman" w:hAnsi="Times New Roman"/>
          <w:sz w:val="24"/>
          <w:szCs w:val="24"/>
        </w:rPr>
        <w:t xml:space="preserve">Confirmation of budget and headcount for the compliance function — adequate resourcing is itself a mitigating factor under OFAC's compliance framework and under BIS and DDTC penalty guidelines.</w:t>
      </w:r>
    </w:p>
    <w:p>
      <w:pPr>
        <w:pStyle w:val="ListParagraph"/>
        <w:numPr>
          <w:ilvl w:val="0"/>
          <w:numId w:val="2"/>
        </w:numPr>
        <w:spacing w:after="80" w:before="0"/>
      </w:pPr>
      <w:r>
        <w:rPr>
          <w:rFonts w:ascii="Times New Roman" w:cs="Times New Roman" w:eastAsia="Times New Roman" w:hAnsi="Times New Roman"/>
          <w:sz w:val="24"/>
          <w:szCs w:val="24"/>
        </w:rPr>
        <w:t xml:space="preserve">Designation of the Empowered Official, if not yet completed (ITAR-regulated entities) — legally required under 22 CFR 120.25; DDTC registration requires identification of this person.</w:t>
      </w:r>
    </w:p>
    <w:p>
      <w:pPr>
        <w:spacing w:after="80" w:before="120"/>
        <w:jc w:val="left"/>
      </w:pPr>
      <w:r>
        <w:rPr>
          <w:rFonts w:ascii="Times New Roman" w:cs="Times New Roman" w:eastAsia="Times New Roman" w:hAnsi="Times New Roman"/>
          <w:b w:val="false"/>
          <w:bCs w:val="false"/>
          <w:i w:val="false"/>
          <w:iCs w:val="false"/>
          <w:color w:val="000000"/>
          <w:sz w:val="24"/>
          <w:szCs w:val="24"/>
        </w:rPr>
        <w:t xml:space="preserve">The companies that have paid the largest penalties in recent history were not companies that chose to violate the law. They were companies that did not invest in the systems, personnel, and governance needed to prevent violations from occurring. This program is that investment.</w:t>
      </w:r>
    </w:p>
    <w:p>
      <w:pPr>
        <w:spacing w:after="80" w:before="0"/>
        <w:jc w:val="left"/>
      </w:pPr>
      <w:r>
        <w:rPr>
          <w:rFonts w:ascii="Times New Roman" w:cs="Times New Roman" w:eastAsia="Times New Roman" w:hAnsi="Times New Roman"/>
          <w:b w:val="false"/>
          <w:bCs w:val="false"/>
          <w:i w:val="false"/>
          <w:iCs w:val="false"/>
          <w:color w:val="000000"/>
          <w:sz w:val="24"/>
          <w:szCs w:val="24"/>
        </w:rPr>
        <w:t xml:space="preserve"/>
      </w:r>
    </w:p>
    <w:p>
      <w:r>
        <w:br w:type="page"/>
      </w:r>
    </w:p>
    <w:p>
      <w:pPr>
        <w:spacing w:after="120" w:before="0"/>
        <w:jc w:val="left"/>
      </w:pPr>
      <w:r>
        <w:rPr>
          <w:rFonts w:ascii="Times New Roman" w:cs="Times New Roman" w:eastAsia="Times New Roman" w:hAnsi="Times New Roman"/>
          <w:b w:val="false"/>
          <w:bCs w:val="false"/>
          <w:i w:val="false"/>
          <w:iCs w:val="false"/>
          <w:color w:val="000000"/>
          <w:sz w:val="24"/>
          <w:szCs w:val="24"/>
        </w:rPr>
        <w:t xml:space="preserve"/>
      </w:r>
    </w:p>
    <w:p>
      <w:pPr>
        <w:pBdr>
          <w:top w:val="single" w:color="000000" w:sz="12" w:space="4"/>
          <w:bottom w:val="single" w:color="000000" w:sz="12" w:space="4"/>
        </w:pBdr>
        <w:spacing w:after="0" w:before="120"/>
        <w:jc w:val="center"/>
      </w:pPr>
      <w:r>
        <w:rPr>
          <w:rFonts w:ascii="Times New Roman" w:cs="Times New Roman" w:eastAsia="Times New Roman" w:hAnsi="Times New Roman"/>
          <w:b/>
          <w:bCs/>
          <w:color w:val="000000"/>
          <w:sz w:val="28"/>
          <w:szCs w:val="28"/>
        </w:rPr>
        <w:t xml:space="preserve">PART B — QUARTERLY BRIEFING</w:t>
      </w:r>
    </w:p>
    <w:p>
      <w:pPr>
        <w:spacing w:after="0" w:before="60"/>
        <w:jc w:val="center"/>
      </w:pPr>
      <w:r>
        <w:rPr>
          <w:rFonts w:ascii="Times New Roman" w:cs="Times New Roman" w:eastAsia="Times New Roman" w:hAnsi="Times New Roman"/>
          <w:b w:val="false"/>
          <w:bCs w:val="false"/>
          <w:i/>
          <w:iCs/>
          <w:color w:val="000000"/>
          <w:sz w:val="20"/>
          <w:szCs w:val="20"/>
        </w:rPr>
        <w:t xml:space="preserve">Standing Agenda · Populate with Current Data Each Quarter</w:t>
      </w:r>
    </w:p>
    <w:p>
      <w:pPr>
        <w:spacing w:after="200" w:before="0"/>
        <w:jc w:val="left"/>
      </w:pPr>
      <w:r>
        <w:rPr>
          <w:rFonts w:ascii="Times New Roman" w:cs="Times New Roman" w:eastAsia="Times New Roman" w:hAnsi="Times New Roman"/>
          <w:b w:val="false"/>
          <w:bCs w:val="false"/>
          <w:i w:val="false"/>
          <w:iCs w:val="false"/>
          <w:color w:val="000000"/>
          <w:sz w:val="24"/>
          <w:szCs w:val="24"/>
        </w:rPr>
        <w:t xml:space="preserve"/>
      </w:r>
    </w:p>
    <w:p>
      <w:pPr>
        <w:spacing w:after="160" w:before="0"/>
        <w:jc w:val="left"/>
      </w:pPr>
      <w:r>
        <w:rPr>
          <w:rFonts w:ascii="Times New Roman" w:cs="Times New Roman" w:eastAsia="Times New Roman" w:hAnsi="Times New Roman"/>
          <w:b w:val="false"/>
          <w:bCs w:val="false"/>
          <w:i w:val="false"/>
          <w:iCs w:val="false"/>
          <w:color w:val="000000"/>
          <w:sz w:val="24"/>
          <w:szCs w:val="24"/>
        </w:rPr>
        <w:t xml:space="preserve">Instructions for the presenting officer:  Complete each section with current period data before the meeting. Sections that have not changed materially since the last briefing may be noted as 'No material changes this period.' Attach supporting data from the ECP-RK-001 Recordkeeping Template (Briefing Summary tab). Distribute to attendees no later than 48 hours before the meeting.</w:t>
      </w:r>
    </w:p>
    <w:p>
      <w:pPr>
        <w:spacing w:after="60" w:before="0"/>
        <w:jc w:val="left"/>
      </w:pPr>
      <w:r>
        <w:rPr>
          <w:rFonts w:ascii="Times New Roman" w:cs="Times New Roman" w:eastAsia="Times New Roman" w:hAnsi="Times New Roman"/>
          <w:b w:val="false"/>
          <w:bCs w:val="false"/>
          <w:i w:val="false"/>
          <w:iCs w:val="false"/>
          <w:color w:val="000000"/>
          <w:sz w:val="24"/>
          <w:szCs w:val="24"/>
        </w:rPr>
        <w:t xml:space="preserve"/>
      </w:r>
    </w:p>
    <w:p>
      <w:pPr>
        <w:spacing w:after="80" w:before="0"/>
        <w:jc w:val="left"/>
      </w:pPr>
      <w:r>
        <w:rPr>
          <w:rFonts w:ascii="Times New Roman" w:cs="Times New Roman" w:eastAsia="Times New Roman" w:hAnsi="Times New Roman"/>
          <w:b/>
          <w:bCs/>
          <w:i w:val="false"/>
          <w:iCs w:val="false"/>
          <w:color w:val="000000"/>
          <w:sz w:val="24"/>
          <w:szCs w:val="24"/>
        </w:rPr>
        <w:t xml:space="preserve">Briefing period:</w:t>
      </w:r>
      <w:r>
        <w:rPr>
          <w:rFonts w:ascii="Times New Roman" w:cs="Times New Roman" w:eastAsia="Times New Roman" w:hAnsi="Times New Roman"/>
          <w:b w:val="false"/>
          <w:bCs w:val="false"/>
          <w:i w:val="false"/>
          <w:iCs w:val="false"/>
          <w:color w:val="000000"/>
          <w:sz w:val="24"/>
          <w:szCs w:val="24"/>
        </w:rPr>
        <w:t xml:space="preserve">  [e.g., Q1 2025  /  January–March 2025]</w:t>
      </w:r>
    </w:p>
    <w:p>
      <w:pPr>
        <w:spacing w:after="80" w:before="0"/>
        <w:jc w:val="left"/>
      </w:pPr>
      <w:r>
        <w:rPr>
          <w:rFonts w:ascii="Times New Roman" w:cs="Times New Roman" w:eastAsia="Times New Roman" w:hAnsi="Times New Roman"/>
          <w:b/>
          <w:bCs/>
          <w:i w:val="false"/>
          <w:iCs w:val="false"/>
          <w:color w:val="000000"/>
          <w:sz w:val="24"/>
          <w:szCs w:val="24"/>
        </w:rPr>
        <w:t xml:space="preserve">Briefing date:</w:t>
      </w:r>
      <w:r>
        <w:rPr>
          <w:rFonts w:ascii="Times New Roman" w:cs="Times New Roman" w:eastAsia="Times New Roman" w:hAnsi="Times New Roman"/>
          <w:b w:val="false"/>
          <w:bCs w:val="false"/>
          <w:i w:val="false"/>
          <w:iCs w:val="false"/>
          <w:color w:val="000000"/>
          <w:sz w:val="24"/>
          <w:szCs w:val="24"/>
        </w:rPr>
        <w:t xml:space="preserve">  [Date]</w:t>
      </w:r>
    </w:p>
    <w:p>
      <w:pPr>
        <w:spacing w:after="80" w:before="0"/>
        <w:jc w:val="left"/>
      </w:pPr>
      <w:r>
        <w:rPr>
          <w:rFonts w:ascii="Times New Roman" w:cs="Times New Roman" w:eastAsia="Times New Roman" w:hAnsi="Times New Roman"/>
          <w:b/>
          <w:bCs/>
          <w:i w:val="false"/>
          <w:iCs w:val="false"/>
          <w:color w:val="000000"/>
          <w:sz w:val="24"/>
          <w:szCs w:val="24"/>
        </w:rPr>
        <w:t xml:space="preserve">Presented by:</w:t>
      </w:r>
      <w:r>
        <w:rPr>
          <w:rFonts w:ascii="Times New Roman" w:cs="Times New Roman" w:eastAsia="Times New Roman" w:hAnsi="Times New Roman"/>
          <w:b w:val="false"/>
          <w:bCs w:val="false"/>
          <w:i w:val="false"/>
          <w:iCs w:val="false"/>
          <w:color w:val="000000"/>
          <w:sz w:val="24"/>
          <w:szCs w:val="24"/>
        </w:rPr>
        <w:t xml:space="preserve">  [Name, Title]</w:t>
      </w:r>
    </w:p>
    <w:p>
      <w:pPr>
        <w:spacing w:after="180" w:before="0"/>
        <w:jc w:val="left"/>
      </w:pPr>
      <w:r>
        <w:rPr>
          <w:rFonts w:ascii="Times New Roman" w:cs="Times New Roman" w:eastAsia="Times New Roman" w:hAnsi="Times New Roman"/>
          <w:b w:val="false"/>
          <w:bCs w:val="false"/>
          <w:i w:val="false"/>
          <w:iCs w:val="false"/>
          <w:color w:val="000000"/>
          <w:sz w:val="24"/>
          <w:szCs w:val="24"/>
        </w:rPr>
        <w:t xml:space="preserve"/>
      </w:r>
    </w:p>
    <w:p>
      <w:pPr>
        <w:pBdr>
          <w:bottom w:val="single" w:color="000000" w:sz="6" w:space="4"/>
        </w:pBdr>
        <w:spacing w:after="80" w:before="280"/>
      </w:pPr>
      <w:r>
        <w:rPr>
          <w:rFonts w:ascii="Times New Roman" w:cs="Times New Roman" w:eastAsia="Times New Roman" w:hAnsi="Times New Roman"/>
          <w:b/>
          <w:bCs/>
          <w:color w:val="000000"/>
          <w:sz w:val="24"/>
          <w:szCs w:val="24"/>
        </w:rPr>
        <w:t xml:space="preserve">B1.  Executive Summary — What Leadership Needs to Know Today</w:t>
      </w:r>
    </w:p>
    <w:p>
      <w:pPr>
        <w:spacing w:after="160" w:before="0"/>
        <w:jc w:val="left"/>
      </w:pPr>
      <w:r>
        <w:rPr>
          <w:rFonts w:ascii="Times New Roman" w:cs="Times New Roman" w:eastAsia="Times New Roman" w:hAnsi="Times New Roman"/>
          <w:b w:val="false"/>
          <w:bCs w:val="false"/>
          <w:i w:val="false"/>
          <w:iCs w:val="false"/>
          <w:color w:val="000000"/>
          <w:sz w:val="24"/>
          <w:szCs w:val="24"/>
        </w:rPr>
        <w:t xml:space="preserve">Open with two to five sentences covering the most important developments since the last briefing. Flag any items that require a decision or escalated attention. If no material developments have occurred, state that explicitly.</w:t>
      </w:r>
    </w:p>
    <w:p>
      <w:pPr>
        <w:pStyle w:val="ListParagraph"/>
        <w:numPr>
          <w:ilvl w:val="0"/>
          <w:numId w:val="2"/>
        </w:numPr>
        <w:spacing w:after="80" w:before="0"/>
      </w:pPr>
      <w:r>
        <w:rPr>
          <w:rFonts w:ascii="Times New Roman" w:cs="Times New Roman" w:eastAsia="Times New Roman" w:hAnsi="Times New Roman"/>
          <w:sz w:val="24"/>
          <w:szCs w:val="24"/>
        </w:rPr>
        <w:t xml:space="preserve">[Key update 1 — e.g., No violations, incidents, or government inquiries during the quarter.]</w:t>
      </w:r>
    </w:p>
    <w:p>
      <w:pPr>
        <w:pStyle w:val="ListParagraph"/>
        <w:numPr>
          <w:ilvl w:val="0"/>
          <w:numId w:val="2"/>
        </w:numPr>
        <w:spacing w:after="80" w:before="0"/>
      </w:pPr>
      <w:r>
        <w:rPr>
          <w:rFonts w:ascii="Times New Roman" w:cs="Times New Roman" w:eastAsia="Times New Roman" w:hAnsi="Times New Roman"/>
          <w:sz w:val="24"/>
          <w:szCs w:val="24"/>
        </w:rPr>
        <w:t xml:space="preserve">[Key update 2 — e.g., Voluntary self-disclosure submitted to BIS on [date]; narrative due within 180 days.]</w:t>
      </w:r>
    </w:p>
    <w:p>
      <w:pPr>
        <w:pStyle w:val="ListParagraph"/>
        <w:numPr>
          <w:ilvl w:val="0"/>
          <w:numId w:val="2"/>
        </w:numPr>
        <w:spacing w:after="80" w:before="0"/>
      </w:pPr>
      <w:r>
        <w:rPr>
          <w:rFonts w:ascii="Times New Roman" w:cs="Times New Roman" w:eastAsia="Times New Roman" w:hAnsi="Times New Roman"/>
          <w:sz w:val="24"/>
          <w:szCs w:val="24"/>
        </w:rPr>
        <w:t xml:space="preserve">[Key update 3 — e.g., New BIS Entity List additions affect two current customers — review in progress, transactions on hold pending determination.]</w:t>
      </w:r>
    </w:p>
    <w:p>
      <w:pPr>
        <w:pStyle w:val="ListParagraph"/>
        <w:numPr>
          <w:ilvl w:val="0"/>
          <w:numId w:val="2"/>
        </w:numPr>
        <w:spacing w:after="80" w:before="0"/>
      </w:pPr>
      <w:r>
        <w:rPr>
          <w:rFonts w:ascii="Times New Roman" w:cs="Times New Roman" w:eastAsia="Times New Roman" w:hAnsi="Times New Roman"/>
          <w:sz w:val="24"/>
          <w:szCs w:val="24"/>
        </w:rPr>
        <w:t xml:space="preserve">[Decision required — e.g., Approval of additional compliance headcount. See Section B7.]</w:t>
      </w:r>
    </w:p>
    <w:p>
      <w:pPr>
        <w:spacing w:after="80" w:before="0"/>
        <w:jc w:val="left"/>
      </w:pPr>
      <w:r>
        <w:rPr>
          <w:rFonts w:ascii="Times New Roman" w:cs="Times New Roman" w:eastAsia="Times New Roman" w:hAnsi="Times New Roman"/>
          <w:b w:val="false"/>
          <w:bCs w:val="false"/>
          <w:i w:val="false"/>
          <w:iCs w:val="false"/>
          <w:color w:val="000000"/>
          <w:sz w:val="24"/>
          <w:szCs w:val="24"/>
        </w:rPr>
        <w:t xml:space="preserve"/>
      </w:r>
    </w:p>
    <w:p>
      <w:pPr>
        <w:pBdr>
          <w:bottom w:val="single" w:color="000000" w:sz="6" w:space="4"/>
        </w:pBdr>
        <w:spacing w:after="80" w:before="280"/>
      </w:pPr>
      <w:r>
        <w:rPr>
          <w:rFonts w:ascii="Times New Roman" w:cs="Times New Roman" w:eastAsia="Times New Roman" w:hAnsi="Times New Roman"/>
          <w:b/>
          <w:bCs/>
          <w:color w:val="000000"/>
          <w:sz w:val="24"/>
          <w:szCs w:val="24"/>
        </w:rPr>
        <w:t xml:space="preserve">B2.  Regulatory Developments</w:t>
      </w:r>
    </w:p>
    <w:p>
      <w:pPr>
        <w:spacing w:after="160" w:before="0"/>
        <w:jc w:val="left"/>
      </w:pPr>
      <w:r>
        <w:rPr>
          <w:rFonts w:ascii="Times New Roman" w:cs="Times New Roman" w:eastAsia="Times New Roman" w:hAnsi="Times New Roman"/>
          <w:b w:val="false"/>
          <w:bCs w:val="false"/>
          <w:i w:val="false"/>
          <w:iCs w:val="false"/>
          <w:color w:val="000000"/>
          <w:sz w:val="24"/>
          <w:szCs w:val="24"/>
        </w:rPr>
        <w:t xml:space="preserve">Summarize material regulatory changes since the last briefing. Focus only on changes relevant to this company's products, markets, or operations. If nothing material has changed, state: 'No material regulatory changes affecting company operations this period.'</w:t>
      </w:r>
    </w:p>
    <w:p>
      <w:pPr>
        <w:spacing w:after="80" w:before="0"/>
        <w:jc w:val="left"/>
      </w:pPr>
      <w:r>
        <w:rPr>
          <w:rFonts w:ascii="Times New Roman" w:cs="Times New Roman" w:eastAsia="Times New Roman" w:hAnsi="Times New Roman"/>
          <w:b w:val="false"/>
          <w:bCs w:val="false"/>
          <w:i w:val="false"/>
          <w:iCs w:val="false"/>
          <w:color w:val="000000"/>
          <w:sz w:val="24"/>
          <w:szCs w:val="2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4000"/>
        <w:gridCol w:w="3560"/>
      </w:tblGrid>
      <w:tr>
        <w:tc>
          <w:tcPr>
            <w:tcW w:type="dxa" w:w="1800"/>
            <w:tcBorders>
              <w:top w:val="single" w:color="BBBBBB" w:sz="1"/>
              <w:left w:val="single" w:color="BBBBBB" w:sz="1"/>
              <w:bottom w:val="single" w:color="BBBBBB" w:sz="1"/>
              <w:right w:val="single" w:color="BBBBBB" w:sz="1"/>
            </w:tcBorders>
            <w:shd w:fill="EEEEEE" w:val="clear"/>
            <w:tcMar>
              <w:top w:type="dxa" w:w="80"/>
              <w:left w:type="dxa" w:w="100"/>
              <w:bottom w:type="dxa" w:w="80"/>
              <w:right w:type="dxa" w:w="100"/>
            </w:tcMar>
          </w:tcPr>
          <w:p>
            <w:pPr>
              <w:spacing w:after="0" w:before="0"/>
              <w:jc w:val="left"/>
            </w:pPr>
            <w:r>
              <w:rPr>
                <w:rFonts w:ascii="Times New Roman" w:cs="Times New Roman" w:eastAsia="Times New Roman" w:hAnsi="Times New Roman"/>
                <w:b/>
                <w:bCs/>
                <w:i w:val="false"/>
                <w:iCs w:val="false"/>
                <w:color w:val="000000"/>
                <w:sz w:val="22"/>
                <w:szCs w:val="22"/>
              </w:rPr>
              <w:t xml:space="preserve">Agency</w:t>
            </w:r>
          </w:p>
        </w:tc>
        <w:tc>
          <w:tcPr>
            <w:tcW w:type="dxa" w:w="4000"/>
            <w:tcBorders>
              <w:top w:val="single" w:color="BBBBBB" w:sz="1"/>
              <w:left w:val="single" w:color="BBBBBB" w:sz="1"/>
              <w:bottom w:val="single" w:color="BBBBBB" w:sz="1"/>
              <w:right w:val="single" w:color="BBBBBB" w:sz="1"/>
            </w:tcBorders>
            <w:shd w:fill="EEEEEE" w:val="clear"/>
            <w:tcMar>
              <w:top w:type="dxa" w:w="80"/>
              <w:left w:type="dxa" w:w="100"/>
              <w:bottom w:type="dxa" w:w="80"/>
              <w:right w:type="dxa" w:w="100"/>
            </w:tcMar>
          </w:tcPr>
          <w:p>
            <w:pPr>
              <w:spacing w:after="0" w:before="0"/>
              <w:jc w:val="left"/>
            </w:pPr>
            <w:r>
              <w:rPr>
                <w:rFonts w:ascii="Times New Roman" w:cs="Times New Roman" w:eastAsia="Times New Roman" w:hAnsi="Times New Roman"/>
                <w:b/>
                <w:bCs/>
                <w:i w:val="false"/>
                <w:iCs w:val="false"/>
                <w:color w:val="000000"/>
                <w:sz w:val="22"/>
                <w:szCs w:val="22"/>
              </w:rPr>
              <w:t xml:space="preserve">Development</w:t>
            </w:r>
          </w:p>
        </w:tc>
        <w:tc>
          <w:tcPr>
            <w:tcW w:type="dxa" w:w="3560"/>
            <w:tcBorders>
              <w:top w:val="single" w:color="BBBBBB" w:sz="1"/>
              <w:left w:val="single" w:color="BBBBBB" w:sz="1"/>
              <w:bottom w:val="single" w:color="BBBBBB" w:sz="1"/>
              <w:right w:val="single" w:color="BBBBBB" w:sz="1"/>
            </w:tcBorders>
            <w:shd w:fill="EEEEEE" w:val="clear"/>
            <w:tcMar>
              <w:top w:type="dxa" w:w="80"/>
              <w:left w:type="dxa" w:w="100"/>
              <w:bottom w:type="dxa" w:w="80"/>
              <w:right w:type="dxa" w:w="100"/>
            </w:tcMar>
          </w:tcPr>
          <w:p>
            <w:pPr>
              <w:spacing w:after="0" w:before="0"/>
              <w:jc w:val="left"/>
            </w:pPr>
            <w:r>
              <w:rPr>
                <w:rFonts w:ascii="Times New Roman" w:cs="Times New Roman" w:eastAsia="Times New Roman" w:hAnsi="Times New Roman"/>
                <w:b/>
                <w:bCs/>
                <w:i w:val="false"/>
                <w:iCs w:val="false"/>
                <w:color w:val="000000"/>
                <w:sz w:val="22"/>
                <w:szCs w:val="22"/>
              </w:rPr>
              <w:t xml:space="preserve">Relevance to This Company</w:t>
            </w:r>
          </w:p>
        </w:tc>
      </w:tr>
      <w:tr>
        <w:tc>
          <w:tcPr>
            <w:tcW w:type="dxa" w:w="18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BIS</w:t>
            </w:r>
          </w:p>
        </w:tc>
        <w:tc>
          <w:tcPr>
            <w:tcW w:type="dxa" w:w="40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[e.g., Entity List additions / ECR amendments]</w:t>
            </w:r>
          </w:p>
        </w:tc>
        <w:tc>
          <w:tcPr>
            <w:tcW w:type="dxa" w:w="356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[Impact on customers, products, or classification]</w:t>
            </w:r>
          </w:p>
        </w:tc>
      </w:tr>
      <w:tr>
        <w:tc>
          <w:tcPr>
            <w:tcW w:type="dxa" w:w="18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DDTC</w:t>
            </w:r>
          </w:p>
        </w:tc>
        <w:tc>
          <w:tcPr>
            <w:tcW w:type="dxa" w:w="40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[e.g., USML revisions / advisory opinions]</w:t>
            </w:r>
          </w:p>
        </w:tc>
        <w:tc>
          <w:tcPr>
            <w:tcW w:type="dxa" w:w="356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[Impact on ITAR classification, licensing, or exemptions]</w:t>
            </w:r>
          </w:p>
        </w:tc>
      </w:tr>
      <w:tr>
        <w:tc>
          <w:tcPr>
            <w:tcW w:type="dxa" w:w="18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OFAC</w:t>
            </w:r>
          </w:p>
        </w:tc>
        <w:tc>
          <w:tcPr>
            <w:tcW w:type="dxa" w:w="40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[e.g., New SDN designations / program changes]</w:t>
            </w:r>
          </w:p>
        </w:tc>
        <w:tc>
          <w:tcPr>
            <w:tcW w:type="dxa" w:w="356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[Impact on counterparties, markets, or transactions]</w:t>
            </w:r>
          </w:p>
        </w:tc>
      </w:tr>
      <w:tr>
        <w:tc>
          <w:tcPr>
            <w:tcW w:type="dxa" w:w="18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CBP / Census</w:t>
            </w:r>
          </w:p>
        </w:tc>
        <w:tc>
          <w:tcPr>
            <w:tcW w:type="dxa" w:w="40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[e.g., AES updates / FTR amendments]</w:t>
            </w:r>
          </w:p>
        </w:tc>
        <w:tc>
          <w:tcPr>
            <w:tcW w:type="dxa" w:w="356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[Impact on export clearance or EEI filing]</w:t>
            </w:r>
          </w:p>
        </w:tc>
      </w:tr>
      <w:tr>
        <w:tc>
          <w:tcPr>
            <w:tcW w:type="dxa" w:w="18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Other</w:t>
            </w:r>
          </w:p>
        </w:tc>
        <w:tc>
          <w:tcPr>
            <w:tcW w:type="dxa" w:w="40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[DOJ enforcement actions / industry precedents]</w:t>
            </w:r>
          </w:p>
        </w:tc>
        <w:tc>
          <w:tcPr>
            <w:tcW w:type="dxa" w:w="356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[Signals for program posture or training]</w:t>
            </w:r>
          </w:p>
        </w:tc>
      </w:tr>
    </w:tbl>
    <w:p>
      <w:pPr>
        <w:spacing w:after="160" w:before="0"/>
        <w:jc w:val="left"/>
      </w:pPr>
      <w:r>
        <w:rPr>
          <w:rFonts w:ascii="Times New Roman" w:cs="Times New Roman" w:eastAsia="Times New Roman" w:hAnsi="Times New Roman"/>
          <w:b w:val="false"/>
          <w:bCs w:val="false"/>
          <w:i w:val="false"/>
          <w:iCs w:val="false"/>
          <w:color w:val="000000"/>
          <w:sz w:val="24"/>
          <w:szCs w:val="24"/>
        </w:rPr>
        <w:t xml:space="preserve"/>
      </w:r>
    </w:p>
    <w:p>
      <w:pPr>
        <w:pBdr>
          <w:bottom w:val="single" w:color="000000" w:sz="6" w:space="4"/>
        </w:pBdr>
        <w:spacing w:after="80" w:before="280"/>
      </w:pPr>
      <w:r>
        <w:rPr>
          <w:rFonts w:ascii="Times New Roman" w:cs="Times New Roman" w:eastAsia="Times New Roman" w:hAnsi="Times New Roman"/>
          <w:b/>
          <w:bCs/>
          <w:color w:val="000000"/>
          <w:sz w:val="24"/>
          <w:szCs w:val="24"/>
        </w:rPr>
        <w:t xml:space="preserve">B3.  Transaction and Licensing Activity  (Ref: ECP-RK-001 Transaction Log)</w:t>
      </w:r>
    </w:p>
    <w:p>
      <w:pPr>
        <w:spacing w:after="160" w:before="0"/>
        <w:jc w:val="left"/>
      </w:pPr>
      <w:r>
        <w:rPr>
          <w:rFonts w:ascii="Times New Roman" w:cs="Times New Roman" w:eastAsia="Times New Roman" w:hAnsi="Times New Roman"/>
          <w:b w:val="false"/>
          <w:bCs w:val="false"/>
          <w:i w:val="false"/>
          <w:iCs w:val="false"/>
          <w:color w:val="000000"/>
          <w:sz w:val="24"/>
          <w:szCs w:val="24"/>
        </w:rPr>
        <w:t xml:space="preserve">Provide a summary of export activity for the quarter. Populate from the Transaction Log in ECP-RK-001. The Briefing Summary tab auto-calculates period totals.</w:t>
      </w:r>
    </w:p>
    <w:p>
      <w:pPr>
        <w:spacing w:after="80" w:before="0"/>
        <w:jc w:val="left"/>
      </w:pPr>
      <w:r>
        <w:rPr>
          <w:rFonts w:ascii="Times New Roman" w:cs="Times New Roman" w:eastAsia="Times New Roman" w:hAnsi="Times New Roman"/>
          <w:b w:val="false"/>
          <w:bCs w:val="false"/>
          <w:i w:val="false"/>
          <w:iCs w:val="false"/>
          <w:color w:val="000000"/>
          <w:sz w:val="24"/>
          <w:szCs w:val="2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1800"/>
        <w:gridCol w:w="3960"/>
      </w:tblGrid>
      <w:tr>
        <w:tc>
          <w:tcPr>
            <w:tcW w:type="dxa" w:w="3600"/>
            <w:tcBorders>
              <w:top w:val="single" w:color="BBBBBB" w:sz="1"/>
              <w:left w:val="single" w:color="BBBBBB" w:sz="1"/>
              <w:bottom w:val="single" w:color="BBBBBB" w:sz="1"/>
              <w:right w:val="single" w:color="BBBBBB" w:sz="1"/>
            </w:tcBorders>
            <w:shd w:fill="EEEEEE" w:val="clear"/>
            <w:tcMar>
              <w:top w:type="dxa" w:w="80"/>
              <w:left w:type="dxa" w:w="100"/>
              <w:bottom w:type="dxa" w:w="80"/>
              <w:right w:type="dxa" w:w="100"/>
            </w:tcMar>
          </w:tcPr>
          <w:p>
            <w:pPr>
              <w:spacing w:after="0" w:before="0"/>
              <w:jc w:val="left"/>
            </w:pPr>
            <w:r>
              <w:rPr>
                <w:rFonts w:ascii="Times New Roman" w:cs="Times New Roman" w:eastAsia="Times New Roman" w:hAnsi="Times New Roman"/>
                <w:b/>
                <w:bCs/>
                <w:i w:val="false"/>
                <w:iCs w:val="false"/>
                <w:color w:val="000000"/>
                <w:sz w:val="22"/>
                <w:szCs w:val="22"/>
              </w:rPr>
              <w:t xml:space="preserve">Category</w:t>
            </w:r>
          </w:p>
        </w:tc>
        <w:tc>
          <w:tcPr>
            <w:tcW w:type="dxa" w:w="1800"/>
            <w:tcBorders>
              <w:top w:val="single" w:color="BBBBBB" w:sz="1"/>
              <w:left w:val="single" w:color="BBBBBB" w:sz="1"/>
              <w:bottom w:val="single" w:color="BBBBBB" w:sz="1"/>
              <w:right w:val="single" w:color="BBBBBB" w:sz="1"/>
            </w:tcBorders>
            <w:shd w:fill="EEEEEE" w:val="clear"/>
            <w:tcMar>
              <w:top w:type="dxa" w:w="80"/>
              <w:left w:type="dxa" w:w="100"/>
              <w:bottom w:type="dxa" w:w="80"/>
              <w:right w:type="dxa" w:w="100"/>
            </w:tcMar>
          </w:tcPr>
          <w:p>
            <w:pPr>
              <w:spacing w:after="0" w:before="0"/>
              <w:jc w:val="left"/>
            </w:pPr>
            <w:r>
              <w:rPr>
                <w:rFonts w:ascii="Times New Roman" w:cs="Times New Roman" w:eastAsia="Times New Roman" w:hAnsi="Times New Roman"/>
                <w:b/>
                <w:bCs/>
                <w:i w:val="false"/>
                <w:iCs w:val="false"/>
                <w:color w:val="000000"/>
                <w:sz w:val="22"/>
                <w:szCs w:val="22"/>
              </w:rPr>
              <w:t xml:space="preserve">Count — Quarter</w:t>
            </w:r>
          </w:p>
        </w:tc>
        <w:tc>
          <w:tcPr>
            <w:tcW w:type="dxa" w:w="3960"/>
            <w:tcBorders>
              <w:top w:val="single" w:color="BBBBBB" w:sz="1"/>
              <w:left w:val="single" w:color="BBBBBB" w:sz="1"/>
              <w:bottom w:val="single" w:color="BBBBBB" w:sz="1"/>
              <w:right w:val="single" w:color="BBBBBB" w:sz="1"/>
            </w:tcBorders>
            <w:shd w:fill="EEEEEE" w:val="clear"/>
            <w:tcMar>
              <w:top w:type="dxa" w:w="80"/>
              <w:left w:type="dxa" w:w="100"/>
              <w:bottom w:type="dxa" w:w="80"/>
              <w:right w:type="dxa" w:w="100"/>
            </w:tcMar>
          </w:tcPr>
          <w:p>
            <w:pPr>
              <w:spacing w:after="0" w:before="0"/>
              <w:jc w:val="left"/>
            </w:pPr>
            <w:r>
              <w:rPr>
                <w:rFonts w:ascii="Times New Roman" w:cs="Times New Roman" w:eastAsia="Times New Roman" w:hAnsi="Times New Roman"/>
                <w:b/>
                <w:bCs/>
                <w:i w:val="false"/>
                <w:iCs w:val="false"/>
                <w:color w:val="000000"/>
                <w:sz w:val="22"/>
                <w:szCs w:val="22"/>
              </w:rPr>
              <w:t xml:space="preserve">Notes / Observations</w:t>
            </w:r>
          </w:p>
        </w:tc>
      </w:tr>
      <w:tr>
        <w:tc>
          <w:tcPr>
            <w:tcW w:type="dxa" w:w="36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Total shipments / transactions processed</w:t>
            </w:r>
          </w:p>
        </w:tc>
        <w:tc>
          <w:tcPr>
            <w:tcW w:type="dxa" w:w="18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
            </w:r>
          </w:p>
        </w:tc>
        <w:tc>
          <w:tcPr>
            <w:tcW w:type="dxa" w:w="396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
            </w:r>
          </w:p>
        </w:tc>
      </w:tr>
      <w:tr>
        <w:tc>
          <w:tcPr>
            <w:tcW w:type="dxa" w:w="36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Transactions processed under NLR</w:t>
            </w:r>
          </w:p>
        </w:tc>
        <w:tc>
          <w:tcPr>
            <w:tcW w:type="dxa" w:w="18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
            </w:r>
          </w:p>
        </w:tc>
        <w:tc>
          <w:tcPr>
            <w:tcW w:type="dxa" w:w="396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
            </w:r>
          </w:p>
        </w:tc>
      </w:tr>
      <w:tr>
        <w:tc>
          <w:tcPr>
            <w:tcW w:type="dxa" w:w="36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License exceptions used</w:t>
            </w:r>
          </w:p>
        </w:tc>
        <w:tc>
          <w:tcPr>
            <w:tcW w:type="dxa" w:w="18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
            </w:r>
          </w:p>
        </w:tc>
        <w:tc>
          <w:tcPr>
            <w:tcW w:type="dxa" w:w="396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Specify exception codes if notable</w:t>
            </w:r>
          </w:p>
        </w:tc>
      </w:tr>
      <w:tr>
        <w:tc>
          <w:tcPr>
            <w:tcW w:type="dxa" w:w="36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BIS license applications submitted</w:t>
            </w:r>
          </w:p>
        </w:tc>
        <w:tc>
          <w:tcPr>
            <w:tcW w:type="dxa" w:w="18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
            </w:r>
          </w:p>
        </w:tc>
        <w:tc>
          <w:tcPr>
            <w:tcW w:type="dxa" w:w="396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
            </w:r>
          </w:p>
        </w:tc>
      </w:tr>
      <w:tr>
        <w:tc>
          <w:tcPr>
            <w:tcW w:type="dxa" w:w="36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BIS licenses active (as of period end)</w:t>
            </w:r>
          </w:p>
        </w:tc>
        <w:tc>
          <w:tcPr>
            <w:tcW w:type="dxa" w:w="18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
            </w:r>
          </w:p>
        </w:tc>
        <w:tc>
          <w:tcPr>
            <w:tcW w:type="dxa" w:w="396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
            </w:r>
          </w:p>
        </w:tc>
      </w:tr>
      <w:tr>
        <w:tc>
          <w:tcPr>
            <w:tcW w:type="dxa" w:w="36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ITAR license / agreement applications submitted</w:t>
            </w:r>
          </w:p>
        </w:tc>
        <w:tc>
          <w:tcPr>
            <w:tcW w:type="dxa" w:w="18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
            </w:r>
          </w:p>
        </w:tc>
        <w:tc>
          <w:tcPr>
            <w:tcW w:type="dxa" w:w="396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
            </w:r>
          </w:p>
        </w:tc>
      </w:tr>
      <w:tr>
        <w:tc>
          <w:tcPr>
            <w:tcW w:type="dxa" w:w="36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ITAR licenses / agreements active</w:t>
            </w:r>
          </w:p>
        </w:tc>
        <w:tc>
          <w:tcPr>
            <w:tcW w:type="dxa" w:w="18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
            </w:r>
          </w:p>
        </w:tc>
        <w:tc>
          <w:tcPr>
            <w:tcW w:type="dxa" w:w="396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
            </w:r>
          </w:p>
        </w:tc>
      </w:tr>
      <w:tr>
        <w:tc>
          <w:tcPr>
            <w:tcW w:type="dxa" w:w="36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EEI filings submitted</w:t>
            </w:r>
          </w:p>
        </w:tc>
        <w:tc>
          <w:tcPr>
            <w:tcW w:type="dxa" w:w="18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
            </w:r>
          </w:p>
        </w:tc>
        <w:tc>
          <w:tcPr>
            <w:tcW w:type="dxa" w:w="396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
            </w:r>
          </w:p>
        </w:tc>
      </w:tr>
      <w:tr>
        <w:tc>
          <w:tcPr>
            <w:tcW w:type="dxa" w:w="36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EEI filings — exemptions used</w:t>
            </w:r>
          </w:p>
        </w:tc>
        <w:tc>
          <w:tcPr>
            <w:tcW w:type="dxa" w:w="18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
            </w:r>
          </w:p>
        </w:tc>
        <w:tc>
          <w:tcPr>
            <w:tcW w:type="dxa" w:w="396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
            </w:r>
          </w:p>
        </w:tc>
      </w:tr>
      <w:tr>
        <w:tc>
          <w:tcPr>
            <w:tcW w:type="dxa" w:w="36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Denied party screenings completed</w:t>
            </w:r>
          </w:p>
        </w:tc>
        <w:tc>
          <w:tcPr>
            <w:tcW w:type="dxa" w:w="18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
            </w:r>
          </w:p>
        </w:tc>
        <w:tc>
          <w:tcPr>
            <w:tcW w:type="dxa" w:w="396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
            </w:r>
          </w:p>
        </w:tc>
      </w:tr>
      <w:tr>
        <w:tc>
          <w:tcPr>
            <w:tcW w:type="dxa" w:w="36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Screening hits requiring review</w:t>
            </w:r>
          </w:p>
        </w:tc>
        <w:tc>
          <w:tcPr>
            <w:tcW w:type="dxa" w:w="18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
            </w:r>
          </w:p>
        </w:tc>
        <w:tc>
          <w:tcPr>
            <w:tcW w:type="dxa" w:w="396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See DPS section in B4 if hits occurred</w:t>
            </w:r>
          </w:p>
        </w:tc>
      </w:tr>
    </w:tbl>
    <w:p>
      <w:pPr>
        <w:spacing w:after="160" w:before="0"/>
        <w:jc w:val="left"/>
      </w:pPr>
      <w:r>
        <w:rPr>
          <w:rFonts w:ascii="Times New Roman" w:cs="Times New Roman" w:eastAsia="Times New Roman" w:hAnsi="Times New Roman"/>
          <w:b w:val="false"/>
          <w:bCs w:val="false"/>
          <w:i w:val="false"/>
          <w:iCs w:val="false"/>
          <w:color w:val="000000"/>
          <w:sz w:val="24"/>
          <w:szCs w:val="24"/>
        </w:rPr>
        <w:t xml:space="preserve"/>
      </w:r>
    </w:p>
    <w:p>
      <w:pPr>
        <w:pBdr>
          <w:bottom w:val="single" w:color="000000" w:sz="6" w:space="4"/>
        </w:pBdr>
        <w:spacing w:after="80" w:before="280"/>
      </w:pPr>
      <w:r>
        <w:rPr>
          <w:rFonts w:ascii="Times New Roman" w:cs="Times New Roman" w:eastAsia="Times New Roman" w:hAnsi="Times New Roman"/>
          <w:b/>
          <w:bCs/>
          <w:color w:val="000000"/>
          <w:sz w:val="24"/>
          <w:szCs w:val="24"/>
        </w:rPr>
        <w:t xml:space="preserve">B4.  Incidents, DPS Overrides, and Government Contacts  (Ref: ECP-RK-001 Incident + DPS Override Logs)</w:t>
      </w:r>
    </w:p>
    <w:p>
      <w:pPr>
        <w:spacing w:after="160" w:before="0"/>
        <w:jc w:val="left"/>
      </w:pPr>
      <w:r>
        <w:rPr>
          <w:rFonts w:ascii="Times New Roman" w:cs="Times New Roman" w:eastAsia="Times New Roman" w:hAnsi="Times New Roman"/>
          <w:b w:val="false"/>
          <w:bCs w:val="false"/>
          <w:i w:val="false"/>
          <w:iCs w:val="false"/>
          <w:color w:val="000000"/>
          <w:sz w:val="24"/>
          <w:szCs w:val="24"/>
        </w:rPr>
        <w:t xml:space="preserve">Report all compliance incidents, DPS override decisions, and government contacts during the quarter. If there are no incidents or contacts, state explicitly: 'No compliance incidents, violations, or government contacts during this period.'</w:t>
      </w:r>
    </w:p>
    <w:p>
      <w:pPr>
        <w:spacing w:after="80" w:before="0"/>
        <w:jc w:val="left"/>
      </w:pPr>
      <w:r>
        <w:rPr>
          <w:rFonts w:ascii="Times New Roman" w:cs="Times New Roman" w:eastAsia="Times New Roman" w:hAnsi="Times New Roman"/>
          <w:b w:val="false"/>
          <w:bCs w:val="false"/>
          <w:i w:val="false"/>
          <w:iCs w:val="false"/>
          <w:color w:val="000000"/>
          <w:sz w:val="24"/>
          <w:szCs w:val="24"/>
        </w:rPr>
        <w:t xml:space="preserve"/>
      </w:r>
    </w:p>
    <w:p>
      <w:pPr>
        <w:spacing w:after="60" w:before="200"/>
        <w:jc w:val="left"/>
      </w:pPr>
      <w:r>
        <w:rPr>
          <w:rFonts w:ascii="Times New Roman" w:cs="Times New Roman" w:eastAsia="Times New Roman" w:hAnsi="Times New Roman"/>
          <w:b/>
          <w:bCs/>
          <w:i w:val="false"/>
          <w:iCs w:val="false"/>
          <w:color w:val="000000"/>
          <w:sz w:val="24"/>
          <w:szCs w:val="24"/>
        </w:rPr>
        <w:t xml:space="preserve">B4a.  Compliance Incidents and Disclosures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1800"/>
        <w:gridCol w:w="2800"/>
        <w:gridCol w:w="3160"/>
      </w:tblGrid>
      <w:tr>
        <w:tc>
          <w:tcPr>
            <w:tcW w:type="dxa" w:w="1600"/>
            <w:tcBorders>
              <w:top w:val="single" w:color="BBBBBB" w:sz="1"/>
              <w:left w:val="single" w:color="BBBBBB" w:sz="1"/>
              <w:bottom w:val="single" w:color="BBBBBB" w:sz="1"/>
              <w:right w:val="single" w:color="BBBBBB" w:sz="1"/>
            </w:tcBorders>
            <w:shd w:fill="EEEEEE" w:val="clear"/>
            <w:tcMar>
              <w:top w:type="dxa" w:w="80"/>
              <w:left w:type="dxa" w:w="100"/>
              <w:bottom w:type="dxa" w:w="80"/>
              <w:right w:type="dxa" w:w="100"/>
            </w:tcMar>
          </w:tcPr>
          <w:p>
            <w:pPr>
              <w:spacing w:after="0" w:before="0"/>
              <w:jc w:val="left"/>
            </w:pPr>
            <w:r>
              <w:rPr>
                <w:rFonts w:ascii="Times New Roman" w:cs="Times New Roman" w:eastAsia="Times New Roman" w:hAnsi="Times New Roman"/>
                <w:b/>
                <w:bCs/>
                <w:i w:val="false"/>
                <w:iCs w:val="false"/>
                <w:color w:val="000000"/>
                <w:sz w:val="22"/>
                <w:szCs w:val="22"/>
              </w:rPr>
              <w:t xml:space="preserve">Date</w:t>
            </w:r>
          </w:p>
        </w:tc>
        <w:tc>
          <w:tcPr>
            <w:tcW w:type="dxa" w:w="1800"/>
            <w:tcBorders>
              <w:top w:val="single" w:color="BBBBBB" w:sz="1"/>
              <w:left w:val="single" w:color="BBBBBB" w:sz="1"/>
              <w:bottom w:val="single" w:color="BBBBBB" w:sz="1"/>
              <w:right w:val="single" w:color="BBBBBB" w:sz="1"/>
            </w:tcBorders>
            <w:shd w:fill="EEEEEE" w:val="clear"/>
            <w:tcMar>
              <w:top w:type="dxa" w:w="80"/>
              <w:left w:type="dxa" w:w="100"/>
              <w:bottom w:type="dxa" w:w="80"/>
              <w:right w:type="dxa" w:w="100"/>
            </w:tcMar>
          </w:tcPr>
          <w:p>
            <w:pPr>
              <w:spacing w:after="0" w:before="0"/>
              <w:jc w:val="left"/>
            </w:pPr>
            <w:r>
              <w:rPr>
                <w:rFonts w:ascii="Times New Roman" w:cs="Times New Roman" w:eastAsia="Times New Roman" w:hAnsi="Times New Roman"/>
                <w:b/>
                <w:bCs/>
                <w:i w:val="false"/>
                <w:iCs w:val="false"/>
                <w:color w:val="000000"/>
                <w:sz w:val="22"/>
                <w:szCs w:val="22"/>
              </w:rPr>
              <w:t xml:space="preserve">Agency / Reg</w:t>
            </w:r>
          </w:p>
        </w:tc>
        <w:tc>
          <w:tcPr>
            <w:tcW w:type="dxa" w:w="2800"/>
            <w:tcBorders>
              <w:top w:val="single" w:color="BBBBBB" w:sz="1"/>
              <w:left w:val="single" w:color="BBBBBB" w:sz="1"/>
              <w:bottom w:val="single" w:color="BBBBBB" w:sz="1"/>
              <w:right w:val="single" w:color="BBBBBB" w:sz="1"/>
            </w:tcBorders>
            <w:shd w:fill="EEEEEE" w:val="clear"/>
            <w:tcMar>
              <w:top w:type="dxa" w:w="80"/>
              <w:left w:type="dxa" w:w="100"/>
              <w:bottom w:type="dxa" w:w="80"/>
              <w:right w:type="dxa" w:w="100"/>
            </w:tcMar>
          </w:tcPr>
          <w:p>
            <w:pPr>
              <w:spacing w:after="0" w:before="0"/>
              <w:jc w:val="left"/>
            </w:pPr>
            <w:r>
              <w:rPr>
                <w:rFonts w:ascii="Times New Roman" w:cs="Times New Roman" w:eastAsia="Times New Roman" w:hAnsi="Times New Roman"/>
                <w:b/>
                <w:bCs/>
                <w:i w:val="false"/>
                <w:iCs w:val="false"/>
                <w:color w:val="000000"/>
                <w:sz w:val="22"/>
                <w:szCs w:val="22"/>
              </w:rPr>
              <w:t xml:space="preserve">Description</w:t>
            </w:r>
          </w:p>
        </w:tc>
        <w:tc>
          <w:tcPr>
            <w:tcW w:type="dxa" w:w="3160"/>
            <w:tcBorders>
              <w:top w:val="single" w:color="BBBBBB" w:sz="1"/>
              <w:left w:val="single" w:color="BBBBBB" w:sz="1"/>
              <w:bottom w:val="single" w:color="BBBBBB" w:sz="1"/>
              <w:right w:val="single" w:color="BBBBBB" w:sz="1"/>
            </w:tcBorders>
            <w:shd w:fill="EEEEEE" w:val="clear"/>
            <w:tcMar>
              <w:top w:type="dxa" w:w="80"/>
              <w:left w:type="dxa" w:w="100"/>
              <w:bottom w:type="dxa" w:w="80"/>
              <w:right w:type="dxa" w:w="100"/>
            </w:tcMar>
          </w:tcPr>
          <w:p>
            <w:pPr>
              <w:spacing w:after="0" w:before="0"/>
              <w:jc w:val="left"/>
            </w:pPr>
            <w:r>
              <w:rPr>
                <w:rFonts w:ascii="Times New Roman" w:cs="Times New Roman" w:eastAsia="Times New Roman" w:hAnsi="Times New Roman"/>
                <w:b/>
                <w:bCs/>
                <w:i w:val="false"/>
                <w:iCs w:val="false"/>
                <w:color w:val="000000"/>
                <w:sz w:val="22"/>
                <w:szCs w:val="22"/>
              </w:rPr>
              <w:t xml:space="preserve">Status and Action Taken</w:t>
            </w:r>
          </w:p>
        </w:tc>
      </w:tr>
      <w:tr>
        <w:tc>
          <w:tcPr>
            <w:tcW w:type="dxa" w:w="16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[Date]</w:t>
            </w:r>
          </w:p>
        </w:tc>
        <w:tc>
          <w:tcPr>
            <w:tcW w:type="dxa" w:w="18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[BIS / DDTC / OFAC]</w:t>
            </w:r>
          </w:p>
        </w:tc>
        <w:tc>
          <w:tcPr>
            <w:tcW w:type="dxa" w:w="28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[Brief description of apparent violation or near-miss]</w:t>
            </w:r>
          </w:p>
        </w:tc>
        <w:tc>
          <w:tcPr>
            <w:tcW w:type="dxa" w:w="316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[Under review / VSD submitted / Mandatory disclosure filed / Closed]</w:t>
            </w:r>
          </w:p>
        </w:tc>
      </w:tr>
      <w:tr>
        <w:tc>
          <w:tcPr>
            <w:tcW w:type="dxa" w:w="16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None</w:t>
            </w:r>
          </w:p>
        </w:tc>
        <w:tc>
          <w:tcPr>
            <w:tcW w:type="dxa" w:w="18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w:t>
            </w:r>
          </w:p>
        </w:tc>
        <w:tc>
          <w:tcPr>
            <w:tcW w:type="dxa" w:w="28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No incidents, violations, or government inquiries this period.</w:t>
            </w:r>
          </w:p>
        </w:tc>
        <w:tc>
          <w:tcPr>
            <w:tcW w:type="dxa" w:w="316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w:t>
            </w:r>
          </w:p>
        </w:tc>
      </w:tr>
    </w:tbl>
    <w:p>
      <w:pPr>
        <w:spacing w:after="140" w:before="0"/>
        <w:jc w:val="left"/>
      </w:pPr>
      <w:r>
        <w:rPr>
          <w:rFonts w:ascii="Times New Roman" w:cs="Times New Roman" w:eastAsia="Times New Roman" w:hAnsi="Times New Roman"/>
          <w:b w:val="false"/>
          <w:bCs w:val="false"/>
          <w:i w:val="false"/>
          <w:iCs w:val="false"/>
          <w:color w:val="000000"/>
          <w:sz w:val="24"/>
          <w:szCs w:val="24"/>
        </w:rPr>
        <w:t xml:space="preserve"/>
      </w:r>
    </w:p>
    <w:p>
      <w:pPr>
        <w:spacing w:after="60" w:before="200"/>
        <w:jc w:val="left"/>
      </w:pPr>
      <w:r>
        <w:rPr>
          <w:rFonts w:ascii="Times New Roman" w:cs="Times New Roman" w:eastAsia="Times New Roman" w:hAnsi="Times New Roman"/>
          <w:b/>
          <w:bCs/>
          <w:i w:val="false"/>
          <w:iCs w:val="false"/>
          <w:color w:val="000000"/>
          <w:sz w:val="24"/>
          <w:szCs w:val="24"/>
        </w:rPr>
        <w:t xml:space="preserve">B4b.  DPS Override Decisions  (Ref: ECP-RK-001 DPS Override Log)</w:t>
      </w:r>
    </w:p>
    <w:p>
      <w:pPr>
        <w:spacing w:after="160" w:before="0"/>
        <w:jc w:val="left"/>
      </w:pPr>
      <w:r>
        <w:rPr>
          <w:rFonts w:ascii="Times New Roman" w:cs="Times New Roman" w:eastAsia="Times New Roman" w:hAnsi="Times New Roman"/>
          <w:b w:val="false"/>
          <w:bCs w:val="false"/>
          <w:i w:val="false"/>
          <w:iCs w:val="false"/>
          <w:color w:val="000000"/>
          <w:sz w:val="24"/>
          <w:szCs w:val="24"/>
        </w:rPr>
        <w:t xml:space="preserve">Summarize screening hits that required human review and a decision to proceed or block. All Type 4 (escalated) and Type 5 (blocked) decisions must be reported here regardless of outcome.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1400"/>
        <w:gridCol w:w="2200"/>
        <w:gridCol w:w="3760"/>
      </w:tblGrid>
      <w:tr>
        <w:tc>
          <w:tcPr>
            <w:tcW w:type="dxa" w:w="2000"/>
            <w:tcBorders>
              <w:top w:val="single" w:color="BBBBBB" w:sz="1"/>
              <w:left w:val="single" w:color="BBBBBB" w:sz="1"/>
              <w:bottom w:val="single" w:color="BBBBBB" w:sz="1"/>
              <w:right w:val="single" w:color="BBBBBB" w:sz="1"/>
            </w:tcBorders>
            <w:shd w:fill="EEEEEE" w:val="clear"/>
            <w:tcMar>
              <w:top w:type="dxa" w:w="80"/>
              <w:left w:type="dxa" w:w="100"/>
              <w:bottom w:type="dxa" w:w="80"/>
              <w:right w:type="dxa" w:w="100"/>
            </w:tcMar>
          </w:tcPr>
          <w:p>
            <w:pPr>
              <w:spacing w:after="0" w:before="0"/>
              <w:jc w:val="left"/>
            </w:pPr>
            <w:r>
              <w:rPr>
                <w:rFonts w:ascii="Times New Roman" w:cs="Times New Roman" w:eastAsia="Times New Roman" w:hAnsi="Times New Roman"/>
                <w:b/>
                <w:bCs/>
                <w:i w:val="false"/>
                <w:iCs w:val="false"/>
                <w:color w:val="000000"/>
                <w:sz w:val="22"/>
                <w:szCs w:val="22"/>
              </w:rPr>
              <w:t xml:space="preserve">Override Type</w:t>
            </w:r>
          </w:p>
        </w:tc>
        <w:tc>
          <w:tcPr>
            <w:tcW w:type="dxa" w:w="1400"/>
            <w:tcBorders>
              <w:top w:val="single" w:color="BBBBBB" w:sz="1"/>
              <w:left w:val="single" w:color="BBBBBB" w:sz="1"/>
              <w:bottom w:val="single" w:color="BBBBBB" w:sz="1"/>
              <w:right w:val="single" w:color="BBBBBB" w:sz="1"/>
            </w:tcBorders>
            <w:shd w:fill="EEEEEE" w:val="clear"/>
            <w:tcMar>
              <w:top w:type="dxa" w:w="80"/>
              <w:left w:type="dxa" w:w="100"/>
              <w:bottom w:type="dxa" w:w="80"/>
              <w:right w:type="dxa" w:w="100"/>
            </w:tcMar>
          </w:tcPr>
          <w:p>
            <w:pPr>
              <w:spacing w:after="0" w:before="0"/>
              <w:jc w:val="left"/>
            </w:pPr>
            <w:r>
              <w:rPr>
                <w:rFonts w:ascii="Times New Roman" w:cs="Times New Roman" w:eastAsia="Times New Roman" w:hAnsi="Times New Roman"/>
                <w:b/>
                <w:bCs/>
                <w:i w:val="false"/>
                <w:iCs w:val="false"/>
                <w:color w:val="000000"/>
                <w:sz w:val="22"/>
                <w:szCs w:val="22"/>
              </w:rPr>
              <w:t xml:space="preserve">Count</w:t>
            </w:r>
          </w:p>
        </w:tc>
        <w:tc>
          <w:tcPr>
            <w:tcW w:type="dxa" w:w="2200"/>
            <w:tcBorders>
              <w:top w:val="single" w:color="BBBBBB" w:sz="1"/>
              <w:left w:val="single" w:color="BBBBBB" w:sz="1"/>
              <w:bottom w:val="single" w:color="BBBBBB" w:sz="1"/>
              <w:right w:val="single" w:color="BBBBBB" w:sz="1"/>
            </w:tcBorders>
            <w:shd w:fill="EEEEEE" w:val="clear"/>
            <w:tcMar>
              <w:top w:type="dxa" w:w="80"/>
              <w:left w:type="dxa" w:w="100"/>
              <w:bottom w:type="dxa" w:w="80"/>
              <w:right w:type="dxa" w:w="100"/>
            </w:tcMar>
          </w:tcPr>
          <w:p>
            <w:pPr>
              <w:spacing w:after="0" w:before="0"/>
              <w:jc w:val="left"/>
            </w:pPr>
            <w:r>
              <w:rPr>
                <w:rFonts w:ascii="Times New Roman" w:cs="Times New Roman" w:eastAsia="Times New Roman" w:hAnsi="Times New Roman"/>
                <w:b/>
                <w:bCs/>
                <w:i w:val="false"/>
                <w:iCs w:val="false"/>
                <w:color w:val="000000"/>
                <w:sz w:val="22"/>
                <w:szCs w:val="22"/>
              </w:rPr>
              <w:t xml:space="preserve">Transactions Affected</w:t>
            </w:r>
          </w:p>
        </w:tc>
        <w:tc>
          <w:tcPr>
            <w:tcW w:type="dxa" w:w="3760"/>
            <w:tcBorders>
              <w:top w:val="single" w:color="BBBBBB" w:sz="1"/>
              <w:left w:val="single" w:color="BBBBBB" w:sz="1"/>
              <w:bottom w:val="single" w:color="BBBBBB" w:sz="1"/>
              <w:right w:val="single" w:color="BBBBBB" w:sz="1"/>
            </w:tcBorders>
            <w:shd w:fill="EEEEEE" w:val="clear"/>
            <w:tcMar>
              <w:top w:type="dxa" w:w="80"/>
              <w:left w:type="dxa" w:w="100"/>
              <w:bottom w:type="dxa" w:w="80"/>
              <w:right w:type="dxa" w:w="100"/>
            </w:tcMar>
          </w:tcPr>
          <w:p>
            <w:pPr>
              <w:spacing w:after="0" w:before="0"/>
              <w:jc w:val="left"/>
            </w:pPr>
            <w:r>
              <w:rPr>
                <w:rFonts w:ascii="Times New Roman" w:cs="Times New Roman" w:eastAsia="Times New Roman" w:hAnsi="Times New Roman"/>
                <w:b/>
                <w:bCs/>
                <w:i w:val="false"/>
                <w:iCs w:val="false"/>
                <w:color w:val="000000"/>
                <w:sz w:val="22"/>
                <w:szCs w:val="22"/>
              </w:rPr>
              <w:t xml:space="preserve">Notes</w:t>
            </w:r>
          </w:p>
        </w:tc>
      </w:tr>
      <w:tr>
        <w:tc>
          <w:tcPr>
            <w:tcW w:type="dxa" w:w="20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Type 1 — Same name, different address</w:t>
            </w:r>
          </w:p>
        </w:tc>
        <w:tc>
          <w:tcPr>
            <w:tcW w:type="dxa" w:w="14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
            </w:r>
          </w:p>
        </w:tc>
        <w:tc>
          <w:tcPr>
            <w:tcW w:type="dxa" w:w="22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
            </w:r>
          </w:p>
        </w:tc>
        <w:tc>
          <w:tcPr>
            <w:tcW w:type="dxa" w:w="376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Documented as different entity</w:t>
            </w:r>
          </w:p>
        </w:tc>
      </w:tr>
      <w:tr>
        <w:tc>
          <w:tcPr>
            <w:tcW w:type="dxa" w:w="20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Type 2 — Same address, different name</w:t>
            </w:r>
          </w:p>
        </w:tc>
        <w:tc>
          <w:tcPr>
            <w:tcW w:type="dxa" w:w="14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
            </w:r>
          </w:p>
        </w:tc>
        <w:tc>
          <w:tcPr>
            <w:tcW w:type="dxa" w:w="22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
            </w:r>
          </w:p>
        </w:tc>
        <w:tc>
          <w:tcPr>
            <w:tcW w:type="dxa" w:w="376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Documented as shared commercial address</w:t>
            </w:r>
          </w:p>
        </w:tc>
      </w:tr>
      <w:tr>
        <w:tc>
          <w:tcPr>
            <w:tcW w:type="dxa" w:w="20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Type 3 — Different identifying data</w:t>
            </w:r>
          </w:p>
        </w:tc>
        <w:tc>
          <w:tcPr>
            <w:tcW w:type="dxa" w:w="14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
            </w:r>
          </w:p>
        </w:tc>
        <w:tc>
          <w:tcPr>
            <w:tcW w:type="dxa" w:w="22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
            </w:r>
          </w:p>
        </w:tc>
        <w:tc>
          <w:tcPr>
            <w:tcW w:type="dxa" w:w="376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Documented as different entity after full review</w:t>
            </w:r>
          </w:p>
        </w:tc>
      </w:tr>
      <w:tr>
        <w:tc>
          <w:tcPr>
            <w:tcW w:type="dxa" w:w="20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Type 4 — Escalated to Legal (transaction held)</w:t>
            </w:r>
          </w:p>
        </w:tc>
        <w:tc>
          <w:tcPr>
            <w:tcW w:type="dxa" w:w="14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
            </w:r>
          </w:p>
        </w:tc>
        <w:tc>
          <w:tcPr>
            <w:tcW w:type="dxa" w:w="22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
            </w:r>
          </w:p>
        </w:tc>
        <w:tc>
          <w:tcPr>
            <w:tcW w:type="dxa" w:w="376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Requires legal sign-off before proceeding</w:t>
            </w:r>
          </w:p>
        </w:tc>
      </w:tr>
      <w:tr>
        <w:tc>
          <w:tcPr>
            <w:tcW w:type="dxa" w:w="20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Type 5 — Transaction blocked</w:t>
            </w:r>
          </w:p>
        </w:tc>
        <w:tc>
          <w:tcPr>
            <w:tcW w:type="dxa" w:w="14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
            </w:r>
          </w:p>
        </w:tc>
        <w:tc>
          <w:tcPr>
            <w:tcW w:type="dxa" w:w="22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
            </w:r>
          </w:p>
        </w:tc>
        <w:tc>
          <w:tcPr>
            <w:tcW w:type="dxa" w:w="376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Match confirmed; transaction stopped</w:t>
            </w:r>
          </w:p>
        </w:tc>
      </w:tr>
    </w:tbl>
    <w:p>
      <w:pPr>
        <w:spacing w:after="140" w:before="0"/>
        <w:jc w:val="left"/>
      </w:pPr>
      <w:r>
        <w:rPr>
          <w:rFonts w:ascii="Times New Roman" w:cs="Times New Roman" w:eastAsia="Times New Roman" w:hAnsi="Times New Roman"/>
          <w:b w:val="false"/>
          <w:bCs w:val="false"/>
          <w:i w:val="false"/>
          <w:iCs w:val="false"/>
          <w:color w:val="000000"/>
          <w:sz w:val="24"/>
          <w:szCs w:val="24"/>
        </w:rPr>
        <w:t xml:space="preserve"/>
      </w:r>
    </w:p>
    <w:p>
      <w:pPr>
        <w:spacing w:after="60" w:before="200"/>
        <w:jc w:val="left"/>
      </w:pPr>
      <w:r>
        <w:rPr>
          <w:rFonts w:ascii="Times New Roman" w:cs="Times New Roman" w:eastAsia="Times New Roman" w:hAnsi="Times New Roman"/>
          <w:b/>
          <w:bCs/>
          <w:i w:val="false"/>
          <w:iCs w:val="false"/>
          <w:color w:val="000000"/>
          <w:sz w:val="24"/>
          <w:szCs w:val="24"/>
        </w:rPr>
        <w:t xml:space="preserve">B4c.  Government Communications</w:t>
      </w:r>
    </w:p>
    <w:p>
      <w:pPr>
        <w:spacing w:after="160" w:before="0"/>
        <w:jc w:val="left"/>
      </w:pPr>
      <w:r>
        <w:rPr>
          <w:rFonts w:ascii="Times New Roman" w:cs="Times New Roman" w:eastAsia="Times New Roman" w:hAnsi="Times New Roman"/>
          <w:b w:val="false"/>
          <w:bCs w:val="false"/>
          <w:i w:val="false"/>
          <w:iCs w:val="false"/>
          <w:color w:val="000000"/>
          <w:sz w:val="24"/>
          <w:szCs w:val="24"/>
        </w:rPr>
        <w:t xml:space="preserve">Record all communications with BIS, DDTC, OFAC, CBP, or other agencies. If none, state: 'No government contacts this period.'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1600"/>
        <w:gridCol w:w="3000"/>
        <w:gridCol w:w="3160"/>
      </w:tblGrid>
      <w:tr>
        <w:tc>
          <w:tcPr>
            <w:tcW w:type="dxa" w:w="1600"/>
            <w:tcBorders>
              <w:top w:val="single" w:color="BBBBBB" w:sz="1"/>
              <w:left w:val="single" w:color="BBBBBB" w:sz="1"/>
              <w:bottom w:val="single" w:color="BBBBBB" w:sz="1"/>
              <w:right w:val="single" w:color="BBBBBB" w:sz="1"/>
            </w:tcBorders>
            <w:shd w:fill="EEEEEE" w:val="clear"/>
            <w:tcMar>
              <w:top w:type="dxa" w:w="80"/>
              <w:left w:type="dxa" w:w="100"/>
              <w:bottom w:type="dxa" w:w="80"/>
              <w:right w:type="dxa" w:w="100"/>
            </w:tcMar>
          </w:tcPr>
          <w:p>
            <w:pPr>
              <w:spacing w:after="0" w:before="0"/>
              <w:jc w:val="left"/>
            </w:pPr>
            <w:r>
              <w:rPr>
                <w:rFonts w:ascii="Times New Roman" w:cs="Times New Roman" w:eastAsia="Times New Roman" w:hAnsi="Times New Roman"/>
                <w:b/>
                <w:bCs/>
                <w:i w:val="false"/>
                <w:iCs w:val="false"/>
                <w:color w:val="000000"/>
                <w:sz w:val="22"/>
                <w:szCs w:val="22"/>
              </w:rPr>
              <w:t xml:space="preserve">Date</w:t>
            </w:r>
          </w:p>
        </w:tc>
        <w:tc>
          <w:tcPr>
            <w:tcW w:type="dxa" w:w="1600"/>
            <w:tcBorders>
              <w:top w:val="single" w:color="BBBBBB" w:sz="1"/>
              <w:left w:val="single" w:color="BBBBBB" w:sz="1"/>
              <w:bottom w:val="single" w:color="BBBBBB" w:sz="1"/>
              <w:right w:val="single" w:color="BBBBBB" w:sz="1"/>
            </w:tcBorders>
            <w:shd w:fill="EEEEEE" w:val="clear"/>
            <w:tcMar>
              <w:top w:type="dxa" w:w="80"/>
              <w:left w:type="dxa" w:w="100"/>
              <w:bottom w:type="dxa" w:w="80"/>
              <w:right w:type="dxa" w:w="100"/>
            </w:tcMar>
          </w:tcPr>
          <w:p>
            <w:pPr>
              <w:spacing w:after="0" w:before="0"/>
              <w:jc w:val="left"/>
            </w:pPr>
            <w:r>
              <w:rPr>
                <w:rFonts w:ascii="Times New Roman" w:cs="Times New Roman" w:eastAsia="Times New Roman" w:hAnsi="Times New Roman"/>
                <w:b/>
                <w:bCs/>
                <w:i w:val="false"/>
                <w:iCs w:val="false"/>
                <w:color w:val="000000"/>
                <w:sz w:val="22"/>
                <w:szCs w:val="22"/>
              </w:rPr>
              <w:t xml:space="preserve">Agency</w:t>
            </w:r>
          </w:p>
        </w:tc>
        <w:tc>
          <w:tcPr>
            <w:tcW w:type="dxa" w:w="3000"/>
            <w:tcBorders>
              <w:top w:val="single" w:color="BBBBBB" w:sz="1"/>
              <w:left w:val="single" w:color="BBBBBB" w:sz="1"/>
              <w:bottom w:val="single" w:color="BBBBBB" w:sz="1"/>
              <w:right w:val="single" w:color="BBBBBB" w:sz="1"/>
            </w:tcBorders>
            <w:shd w:fill="EEEEEE" w:val="clear"/>
            <w:tcMar>
              <w:top w:type="dxa" w:w="80"/>
              <w:left w:type="dxa" w:w="100"/>
              <w:bottom w:type="dxa" w:w="80"/>
              <w:right w:type="dxa" w:w="100"/>
            </w:tcMar>
          </w:tcPr>
          <w:p>
            <w:pPr>
              <w:spacing w:after="0" w:before="0"/>
              <w:jc w:val="left"/>
            </w:pPr>
            <w:r>
              <w:rPr>
                <w:rFonts w:ascii="Times New Roman" w:cs="Times New Roman" w:eastAsia="Times New Roman" w:hAnsi="Times New Roman"/>
                <w:b/>
                <w:bCs/>
                <w:i w:val="false"/>
                <w:iCs w:val="false"/>
                <w:color w:val="000000"/>
                <w:sz w:val="22"/>
                <w:szCs w:val="22"/>
              </w:rPr>
              <w:t xml:space="preserve">Nature of Contact</w:t>
            </w:r>
          </w:p>
        </w:tc>
        <w:tc>
          <w:tcPr>
            <w:tcW w:type="dxa" w:w="3160"/>
            <w:tcBorders>
              <w:top w:val="single" w:color="BBBBBB" w:sz="1"/>
              <w:left w:val="single" w:color="BBBBBB" w:sz="1"/>
              <w:bottom w:val="single" w:color="BBBBBB" w:sz="1"/>
              <w:right w:val="single" w:color="BBBBBB" w:sz="1"/>
            </w:tcBorders>
            <w:shd w:fill="EEEEEE" w:val="clear"/>
            <w:tcMar>
              <w:top w:type="dxa" w:w="80"/>
              <w:left w:type="dxa" w:w="100"/>
              <w:bottom w:type="dxa" w:w="80"/>
              <w:right w:type="dxa" w:w="100"/>
            </w:tcMar>
          </w:tcPr>
          <w:p>
            <w:pPr>
              <w:spacing w:after="0" w:before="0"/>
              <w:jc w:val="left"/>
            </w:pPr>
            <w:r>
              <w:rPr>
                <w:rFonts w:ascii="Times New Roman" w:cs="Times New Roman" w:eastAsia="Times New Roman" w:hAnsi="Times New Roman"/>
                <w:b/>
                <w:bCs/>
                <w:i w:val="false"/>
                <w:iCs w:val="false"/>
                <w:color w:val="000000"/>
                <w:sz w:val="22"/>
                <w:szCs w:val="22"/>
              </w:rPr>
              <w:t xml:space="preserve">Status / Follow-up</w:t>
            </w:r>
          </w:p>
        </w:tc>
      </w:tr>
      <w:tr>
        <w:tc>
          <w:tcPr>
            <w:tcW w:type="dxa" w:w="16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[Date]</w:t>
            </w:r>
          </w:p>
        </w:tc>
        <w:tc>
          <w:tcPr>
            <w:tcW w:type="dxa" w:w="16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[Agency]</w:t>
            </w:r>
          </w:p>
        </w:tc>
        <w:tc>
          <w:tcPr>
            <w:tcW w:type="dxa" w:w="30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[Inquiry / audit notification / VSD acknowledgment / advisory opinion / other]</w:t>
            </w:r>
          </w:p>
        </w:tc>
        <w:tc>
          <w:tcPr>
            <w:tcW w:type="dxa" w:w="316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[Open / Closed / Response due: ___]</w:t>
            </w:r>
          </w:p>
        </w:tc>
      </w:tr>
      <w:tr>
        <w:tc>
          <w:tcPr>
            <w:tcW w:type="dxa" w:w="16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None</w:t>
            </w:r>
          </w:p>
        </w:tc>
        <w:tc>
          <w:tcPr>
            <w:tcW w:type="dxa" w:w="16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w:t>
            </w:r>
          </w:p>
        </w:tc>
        <w:tc>
          <w:tcPr>
            <w:tcW w:type="dxa" w:w="30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No government contacts this period.</w:t>
            </w:r>
          </w:p>
        </w:tc>
        <w:tc>
          <w:tcPr>
            <w:tcW w:type="dxa" w:w="316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w:t>
            </w:r>
          </w:p>
        </w:tc>
      </w:tr>
    </w:tbl>
    <w:p>
      <w:pPr>
        <w:spacing w:after="160" w:before="0"/>
        <w:jc w:val="left"/>
      </w:pPr>
      <w:r>
        <w:rPr>
          <w:rFonts w:ascii="Times New Roman" w:cs="Times New Roman" w:eastAsia="Times New Roman" w:hAnsi="Times New Roman"/>
          <w:b w:val="false"/>
          <w:bCs w:val="false"/>
          <w:i w:val="false"/>
          <w:iCs w:val="false"/>
          <w:color w:val="000000"/>
          <w:sz w:val="24"/>
          <w:szCs w:val="24"/>
        </w:rPr>
        <w:t xml:space="preserve"/>
      </w:r>
    </w:p>
    <w:p>
      <w:pPr>
        <w:pBdr>
          <w:bottom w:val="single" w:color="000000" w:sz="6" w:space="4"/>
        </w:pBdr>
        <w:spacing w:after="80" w:before="280"/>
      </w:pPr>
      <w:r>
        <w:rPr>
          <w:rFonts w:ascii="Times New Roman" w:cs="Times New Roman" w:eastAsia="Times New Roman" w:hAnsi="Times New Roman"/>
          <w:b/>
          <w:bCs/>
          <w:color w:val="000000"/>
          <w:sz w:val="24"/>
          <w:szCs w:val="24"/>
        </w:rPr>
        <w:t xml:space="preserve">B5.  Program Status — Changes Since Last Briefing  (Ref: ECP-RK-001 Records Inventory)</w:t>
      </w:r>
    </w:p>
    <w:p>
      <w:pPr>
        <w:spacing w:after="160" w:before="0"/>
        <w:jc w:val="left"/>
      </w:pPr>
      <w:r>
        <w:rPr>
          <w:rFonts w:ascii="Times New Roman" w:cs="Times New Roman" w:eastAsia="Times New Roman" w:hAnsi="Times New Roman"/>
          <w:b w:val="false"/>
          <w:bCs w:val="false"/>
          <w:i w:val="false"/>
          <w:iCs w:val="false"/>
          <w:color w:val="000000"/>
          <w:sz w:val="24"/>
          <w:szCs w:val="24"/>
        </w:rPr>
        <w:t xml:space="preserve">Report only elements where status has changed since the last quarterly briefing. For unchanged items, enter 'No change.' Use ratings: Satisfactory / Needs Improvement / Unsatisfactory.</w:t>
      </w:r>
    </w:p>
    <w:p>
      <w:pPr>
        <w:spacing w:after="80" w:before="0"/>
        <w:jc w:val="left"/>
      </w:pPr>
      <w:r>
        <w:rPr>
          <w:rFonts w:ascii="Times New Roman" w:cs="Times New Roman" w:eastAsia="Times New Roman" w:hAnsi="Times New Roman"/>
          <w:b w:val="false"/>
          <w:bCs w:val="false"/>
          <w:i w:val="false"/>
          <w:iCs w:val="false"/>
          <w:color w:val="000000"/>
          <w:sz w:val="24"/>
          <w:szCs w:val="2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1800"/>
        <w:gridCol w:w="3960"/>
      </w:tblGrid>
      <w:tr>
        <w:tc>
          <w:tcPr>
            <w:tcW w:type="dxa" w:w="3600"/>
            <w:tcBorders>
              <w:top w:val="single" w:color="BBBBBB" w:sz="1"/>
              <w:left w:val="single" w:color="BBBBBB" w:sz="1"/>
              <w:bottom w:val="single" w:color="BBBBBB" w:sz="1"/>
              <w:right w:val="single" w:color="BBBBBB" w:sz="1"/>
            </w:tcBorders>
            <w:shd w:fill="EEEEEE" w:val="clear"/>
            <w:tcMar>
              <w:top w:type="dxa" w:w="80"/>
              <w:left w:type="dxa" w:w="100"/>
              <w:bottom w:type="dxa" w:w="80"/>
              <w:right w:type="dxa" w:w="100"/>
            </w:tcMar>
          </w:tcPr>
          <w:p>
            <w:pPr>
              <w:spacing w:after="0" w:before="0"/>
              <w:jc w:val="left"/>
            </w:pPr>
            <w:r>
              <w:rPr>
                <w:rFonts w:ascii="Times New Roman" w:cs="Times New Roman" w:eastAsia="Times New Roman" w:hAnsi="Times New Roman"/>
                <w:b/>
                <w:bCs/>
                <w:i w:val="false"/>
                <w:iCs w:val="false"/>
                <w:color w:val="000000"/>
                <w:sz w:val="22"/>
                <w:szCs w:val="22"/>
              </w:rPr>
              <w:t xml:space="preserve">Program Element</w:t>
            </w:r>
          </w:p>
        </w:tc>
        <w:tc>
          <w:tcPr>
            <w:tcW w:type="dxa" w:w="1800"/>
            <w:tcBorders>
              <w:top w:val="single" w:color="BBBBBB" w:sz="1"/>
              <w:left w:val="single" w:color="BBBBBB" w:sz="1"/>
              <w:bottom w:val="single" w:color="BBBBBB" w:sz="1"/>
              <w:right w:val="single" w:color="BBBBBB" w:sz="1"/>
            </w:tcBorders>
            <w:shd w:fill="EEEEEE" w:val="clear"/>
            <w:tcMar>
              <w:top w:type="dxa" w:w="80"/>
              <w:left w:type="dxa" w:w="100"/>
              <w:bottom w:type="dxa" w:w="80"/>
              <w:right w:type="dxa" w:w="100"/>
            </w:tcMar>
          </w:tcPr>
          <w:p>
            <w:pPr>
              <w:spacing w:after="0" w:before="0"/>
              <w:jc w:val="left"/>
            </w:pPr>
            <w:r>
              <w:rPr>
                <w:rFonts w:ascii="Times New Roman" w:cs="Times New Roman" w:eastAsia="Times New Roman" w:hAnsi="Times New Roman"/>
                <w:b/>
                <w:bCs/>
                <w:i w:val="false"/>
                <w:iCs w:val="false"/>
                <w:color w:val="000000"/>
                <w:sz w:val="22"/>
                <w:szCs w:val="22"/>
              </w:rPr>
              <w:t xml:space="preserve">Status / Rating</w:t>
            </w:r>
          </w:p>
        </w:tc>
        <w:tc>
          <w:tcPr>
            <w:tcW w:type="dxa" w:w="3960"/>
            <w:tcBorders>
              <w:top w:val="single" w:color="BBBBBB" w:sz="1"/>
              <w:left w:val="single" w:color="BBBBBB" w:sz="1"/>
              <w:bottom w:val="single" w:color="BBBBBB" w:sz="1"/>
              <w:right w:val="single" w:color="BBBBBB" w:sz="1"/>
            </w:tcBorders>
            <w:shd w:fill="EEEEEE" w:val="clear"/>
            <w:tcMar>
              <w:top w:type="dxa" w:w="80"/>
              <w:left w:type="dxa" w:w="100"/>
              <w:bottom w:type="dxa" w:w="80"/>
              <w:right w:type="dxa" w:w="100"/>
            </w:tcMar>
          </w:tcPr>
          <w:p>
            <w:pPr>
              <w:spacing w:after="0" w:before="0"/>
              <w:jc w:val="left"/>
            </w:pPr>
            <w:r>
              <w:rPr>
                <w:rFonts w:ascii="Times New Roman" w:cs="Times New Roman" w:eastAsia="Times New Roman" w:hAnsi="Times New Roman"/>
                <w:b/>
                <w:bCs/>
                <w:i w:val="false"/>
                <w:iCs w:val="false"/>
                <w:color w:val="000000"/>
                <w:sz w:val="22"/>
                <w:szCs w:val="22"/>
              </w:rPr>
              <w:t xml:space="preserve">Notes / Action Required</w:t>
            </w:r>
          </w:p>
        </w:tc>
      </w:tr>
      <w:tr>
        <w:tc>
          <w:tcPr>
            <w:tcW w:type="dxa" w:w="36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Written policies and procedures</w:t>
            </w:r>
          </w:p>
        </w:tc>
        <w:tc>
          <w:tcPr>
            <w:tcW w:type="dxa" w:w="18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
            </w:r>
          </w:p>
        </w:tc>
        <w:tc>
          <w:tcPr>
            <w:tcW w:type="dxa" w:w="396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
            </w:r>
          </w:p>
        </w:tc>
      </w:tr>
      <w:tr>
        <w:tc>
          <w:tcPr>
            <w:tcW w:type="dxa" w:w="36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Empowered Official designation (ITAR)</w:t>
            </w:r>
          </w:p>
        </w:tc>
        <w:tc>
          <w:tcPr>
            <w:tcW w:type="dxa" w:w="18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
            </w:r>
          </w:p>
        </w:tc>
        <w:tc>
          <w:tcPr>
            <w:tcW w:type="dxa" w:w="396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
            </w:r>
          </w:p>
        </w:tc>
      </w:tr>
      <w:tr>
        <w:tc>
          <w:tcPr>
            <w:tcW w:type="dxa" w:w="36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Classification and jurisdiction procedures</w:t>
            </w:r>
          </w:p>
        </w:tc>
        <w:tc>
          <w:tcPr>
            <w:tcW w:type="dxa" w:w="18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
            </w:r>
          </w:p>
        </w:tc>
        <w:tc>
          <w:tcPr>
            <w:tcW w:type="dxa" w:w="396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
            </w:r>
          </w:p>
        </w:tc>
      </w:tr>
      <w:tr>
        <w:tc>
          <w:tcPr>
            <w:tcW w:type="dxa" w:w="36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Denied party screening</w:t>
            </w:r>
          </w:p>
        </w:tc>
        <w:tc>
          <w:tcPr>
            <w:tcW w:type="dxa" w:w="18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
            </w:r>
          </w:p>
        </w:tc>
        <w:tc>
          <w:tcPr>
            <w:tcW w:type="dxa" w:w="396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
            </w:r>
          </w:p>
        </w:tc>
      </w:tr>
      <w:tr>
        <w:tc>
          <w:tcPr>
            <w:tcW w:type="dxa" w:w="36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License determination process</w:t>
            </w:r>
          </w:p>
        </w:tc>
        <w:tc>
          <w:tcPr>
            <w:tcW w:type="dxa" w:w="18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
            </w:r>
          </w:p>
        </w:tc>
        <w:tc>
          <w:tcPr>
            <w:tcW w:type="dxa" w:w="396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
            </w:r>
          </w:p>
        </w:tc>
      </w:tr>
      <w:tr>
        <w:tc>
          <w:tcPr>
            <w:tcW w:type="dxa" w:w="36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ITAR license / agreement compliance</w:t>
            </w:r>
          </w:p>
        </w:tc>
        <w:tc>
          <w:tcPr>
            <w:tcW w:type="dxa" w:w="18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
            </w:r>
          </w:p>
        </w:tc>
        <w:tc>
          <w:tcPr>
            <w:tcW w:type="dxa" w:w="396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
            </w:r>
          </w:p>
        </w:tc>
      </w:tr>
      <w:tr>
        <w:tc>
          <w:tcPr>
            <w:tcW w:type="dxa" w:w="36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Technology Control Plan (ITAR)</w:t>
            </w:r>
          </w:p>
        </w:tc>
        <w:tc>
          <w:tcPr>
            <w:tcW w:type="dxa" w:w="18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
            </w:r>
          </w:p>
        </w:tc>
        <w:tc>
          <w:tcPr>
            <w:tcW w:type="dxa" w:w="396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
            </w:r>
          </w:p>
        </w:tc>
      </w:tr>
      <w:tr>
        <w:tc>
          <w:tcPr>
            <w:tcW w:type="dxa" w:w="36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Recordkeeping — completeness and retention</w:t>
            </w:r>
          </w:p>
        </w:tc>
        <w:tc>
          <w:tcPr>
            <w:tcW w:type="dxa" w:w="18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
            </w:r>
          </w:p>
        </w:tc>
        <w:tc>
          <w:tcPr>
            <w:tcW w:type="dxa" w:w="396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
            </w:r>
          </w:p>
        </w:tc>
      </w:tr>
      <w:tr>
        <w:tc>
          <w:tcPr>
            <w:tcW w:type="dxa" w:w="36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Incident and violation reporting</w:t>
            </w:r>
          </w:p>
        </w:tc>
        <w:tc>
          <w:tcPr>
            <w:tcW w:type="dxa" w:w="18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
            </w:r>
          </w:p>
        </w:tc>
        <w:tc>
          <w:tcPr>
            <w:tcW w:type="dxa" w:w="396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
            </w:r>
          </w:p>
        </w:tc>
      </w:tr>
      <w:tr>
        <w:tc>
          <w:tcPr>
            <w:tcW w:type="dxa" w:w="36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Audit and monitoring</w:t>
            </w:r>
          </w:p>
        </w:tc>
        <w:tc>
          <w:tcPr>
            <w:tcW w:type="dxa" w:w="18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
            </w:r>
          </w:p>
        </w:tc>
        <w:tc>
          <w:tcPr>
            <w:tcW w:type="dxa" w:w="396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
            </w:r>
          </w:p>
        </w:tc>
      </w:tr>
    </w:tbl>
    <w:p>
      <w:pPr>
        <w:spacing w:after="160" w:before="0"/>
        <w:jc w:val="left"/>
      </w:pPr>
      <w:r>
        <w:rPr>
          <w:rFonts w:ascii="Times New Roman" w:cs="Times New Roman" w:eastAsia="Times New Roman" w:hAnsi="Times New Roman"/>
          <w:b w:val="false"/>
          <w:bCs w:val="false"/>
          <w:i w:val="false"/>
          <w:iCs w:val="false"/>
          <w:color w:val="000000"/>
          <w:sz w:val="24"/>
          <w:szCs w:val="24"/>
        </w:rPr>
        <w:t xml:space="preserve"/>
      </w:r>
    </w:p>
    <w:p>
      <w:pPr>
        <w:pBdr>
          <w:bottom w:val="single" w:color="000000" w:sz="6" w:space="4"/>
        </w:pBdr>
        <w:spacing w:after="80" w:before="280"/>
      </w:pPr>
      <w:r>
        <w:rPr>
          <w:rFonts w:ascii="Times New Roman" w:cs="Times New Roman" w:eastAsia="Times New Roman" w:hAnsi="Times New Roman"/>
          <w:b/>
          <w:bCs/>
          <w:color w:val="000000"/>
          <w:sz w:val="24"/>
          <w:szCs w:val="24"/>
        </w:rPr>
        <w:t xml:space="preserve">B6.  Training  (Ref: HR Training Records)</w:t>
      </w:r>
    </w:p>
    <w:p>
      <w:pPr>
        <w:spacing w:after="160" w:before="0"/>
        <w:jc w:val="left"/>
      </w:pPr>
      <w:r>
        <w:rPr>
          <w:rFonts w:ascii="Times New Roman" w:cs="Times New Roman" w:eastAsia="Times New Roman" w:hAnsi="Times New Roman"/>
          <w:b w:val="false"/>
          <w:bCs w:val="false"/>
          <w:i w:val="false"/>
          <w:iCs w:val="false"/>
          <w:color w:val="000000"/>
          <w:sz w:val="24"/>
          <w:szCs w:val="24"/>
        </w:rPr>
        <w:t xml:space="preserve">Summarize training activity for the quarter. Training records are maintained in the HR system; request data from HR prior to each briefing.</w:t>
      </w:r>
    </w:p>
    <w:p>
      <w:pPr>
        <w:spacing w:after="80" w:before="0"/>
        <w:jc w:val="left"/>
      </w:pPr>
      <w:r>
        <w:rPr>
          <w:rFonts w:ascii="Times New Roman" w:cs="Times New Roman" w:eastAsia="Times New Roman" w:hAnsi="Times New Roman"/>
          <w:b w:val="false"/>
          <w:bCs w:val="false"/>
          <w:i w:val="false"/>
          <w:iCs w:val="false"/>
          <w:color w:val="000000"/>
          <w:sz w:val="24"/>
          <w:szCs w:val="2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1800"/>
        <w:gridCol w:w="1600"/>
        <w:gridCol w:w="2960"/>
      </w:tblGrid>
      <w:tr>
        <w:tc>
          <w:tcPr>
            <w:tcW w:type="dxa" w:w="3000"/>
            <w:tcBorders>
              <w:top w:val="single" w:color="BBBBBB" w:sz="1"/>
              <w:left w:val="single" w:color="BBBBBB" w:sz="1"/>
              <w:bottom w:val="single" w:color="BBBBBB" w:sz="1"/>
              <w:right w:val="single" w:color="BBBBBB" w:sz="1"/>
            </w:tcBorders>
            <w:shd w:fill="EEEEEE" w:val="clear"/>
            <w:tcMar>
              <w:top w:type="dxa" w:w="80"/>
              <w:left w:type="dxa" w:w="100"/>
              <w:bottom w:type="dxa" w:w="80"/>
              <w:right w:type="dxa" w:w="100"/>
            </w:tcMar>
          </w:tcPr>
          <w:p>
            <w:pPr>
              <w:spacing w:after="0" w:before="0"/>
              <w:jc w:val="left"/>
            </w:pPr>
            <w:r>
              <w:rPr>
                <w:rFonts w:ascii="Times New Roman" w:cs="Times New Roman" w:eastAsia="Times New Roman" w:hAnsi="Times New Roman"/>
                <w:b/>
                <w:bCs/>
                <w:i w:val="false"/>
                <w:iCs w:val="false"/>
                <w:color w:val="000000"/>
                <w:sz w:val="22"/>
                <w:szCs w:val="22"/>
              </w:rPr>
              <w:t xml:space="preserve">Training Type</w:t>
            </w:r>
          </w:p>
        </w:tc>
        <w:tc>
          <w:tcPr>
            <w:tcW w:type="dxa" w:w="1800"/>
            <w:tcBorders>
              <w:top w:val="single" w:color="BBBBBB" w:sz="1"/>
              <w:left w:val="single" w:color="BBBBBB" w:sz="1"/>
              <w:bottom w:val="single" w:color="BBBBBB" w:sz="1"/>
              <w:right w:val="single" w:color="BBBBBB" w:sz="1"/>
            </w:tcBorders>
            <w:shd w:fill="EEEEEE" w:val="clear"/>
            <w:tcMar>
              <w:top w:type="dxa" w:w="80"/>
              <w:left w:type="dxa" w:w="100"/>
              <w:bottom w:type="dxa" w:w="80"/>
              <w:right w:type="dxa" w:w="100"/>
            </w:tcMar>
          </w:tcPr>
          <w:p>
            <w:pPr>
              <w:spacing w:after="0" w:before="0"/>
              <w:jc w:val="left"/>
            </w:pPr>
            <w:r>
              <w:rPr>
                <w:rFonts w:ascii="Times New Roman" w:cs="Times New Roman" w:eastAsia="Times New Roman" w:hAnsi="Times New Roman"/>
                <w:b/>
                <w:bCs/>
                <w:i w:val="false"/>
                <w:iCs w:val="false"/>
                <w:color w:val="000000"/>
                <w:sz w:val="22"/>
                <w:szCs w:val="22"/>
              </w:rPr>
              <w:t xml:space="preserve">Completed This Quarter</w:t>
            </w:r>
          </w:p>
        </w:tc>
        <w:tc>
          <w:tcPr>
            <w:tcW w:type="dxa" w:w="1600"/>
            <w:tcBorders>
              <w:top w:val="single" w:color="BBBBBB" w:sz="1"/>
              <w:left w:val="single" w:color="BBBBBB" w:sz="1"/>
              <w:bottom w:val="single" w:color="BBBBBB" w:sz="1"/>
              <w:right w:val="single" w:color="BBBBBB" w:sz="1"/>
            </w:tcBorders>
            <w:shd w:fill="EEEEEE" w:val="clear"/>
            <w:tcMar>
              <w:top w:type="dxa" w:w="80"/>
              <w:left w:type="dxa" w:w="100"/>
              <w:bottom w:type="dxa" w:w="80"/>
              <w:right w:type="dxa" w:w="100"/>
            </w:tcMar>
          </w:tcPr>
          <w:p>
            <w:pPr>
              <w:spacing w:after="0" w:before="0"/>
              <w:jc w:val="left"/>
            </w:pPr>
            <w:r>
              <w:rPr>
                <w:rFonts w:ascii="Times New Roman" w:cs="Times New Roman" w:eastAsia="Times New Roman" w:hAnsi="Times New Roman"/>
                <w:b/>
                <w:bCs/>
                <w:i w:val="false"/>
                <w:iCs w:val="false"/>
                <w:color w:val="000000"/>
                <w:sz w:val="22"/>
                <w:szCs w:val="22"/>
              </w:rPr>
              <w:t xml:space="preserve">Completion %</w:t>
            </w:r>
          </w:p>
        </w:tc>
        <w:tc>
          <w:tcPr>
            <w:tcW w:type="dxa" w:w="2960"/>
            <w:tcBorders>
              <w:top w:val="single" w:color="BBBBBB" w:sz="1"/>
              <w:left w:val="single" w:color="BBBBBB" w:sz="1"/>
              <w:bottom w:val="single" w:color="BBBBBB" w:sz="1"/>
              <w:right w:val="single" w:color="BBBBBB" w:sz="1"/>
            </w:tcBorders>
            <w:shd w:fill="EEEEEE" w:val="clear"/>
            <w:tcMar>
              <w:top w:type="dxa" w:w="80"/>
              <w:left w:type="dxa" w:w="100"/>
              <w:bottom w:type="dxa" w:w="80"/>
              <w:right w:type="dxa" w:w="100"/>
            </w:tcMar>
          </w:tcPr>
          <w:p>
            <w:pPr>
              <w:spacing w:after="0" w:before="0"/>
              <w:jc w:val="left"/>
            </w:pPr>
            <w:r>
              <w:rPr>
                <w:rFonts w:ascii="Times New Roman" w:cs="Times New Roman" w:eastAsia="Times New Roman" w:hAnsi="Times New Roman"/>
                <w:b/>
                <w:bCs/>
                <w:i w:val="false"/>
                <w:iCs w:val="false"/>
                <w:color w:val="000000"/>
                <w:sz w:val="22"/>
                <w:szCs w:val="22"/>
              </w:rPr>
              <w:t xml:space="preserve">Next Due Date</w:t>
            </w:r>
          </w:p>
        </w:tc>
      </w:tr>
      <w:tr>
        <w:tc>
          <w:tcPr>
            <w:tcW w:type="dxa" w:w="30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Level 1 — Annual refresher (all employees)</w:t>
            </w:r>
          </w:p>
        </w:tc>
        <w:tc>
          <w:tcPr>
            <w:tcW w:type="dxa" w:w="18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
            </w:r>
          </w:p>
        </w:tc>
        <w:tc>
          <w:tcPr>
            <w:tcW w:type="dxa" w:w="16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
            </w:r>
          </w:p>
        </w:tc>
        <w:tc>
          <w:tcPr>
            <w:tcW w:type="dxa" w:w="296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
            </w:r>
          </w:p>
        </w:tc>
      </w:tr>
      <w:tr>
        <w:tc>
          <w:tcPr>
            <w:tcW w:type="dxa" w:w="30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Level 2 — Compliance team</w:t>
            </w:r>
          </w:p>
        </w:tc>
        <w:tc>
          <w:tcPr>
            <w:tcW w:type="dxa" w:w="18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
            </w:r>
          </w:p>
        </w:tc>
        <w:tc>
          <w:tcPr>
            <w:tcW w:type="dxa" w:w="16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
            </w:r>
          </w:p>
        </w:tc>
        <w:tc>
          <w:tcPr>
            <w:tcW w:type="dxa" w:w="296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
            </w:r>
          </w:p>
        </w:tc>
      </w:tr>
      <w:tr>
        <w:tc>
          <w:tcPr>
            <w:tcW w:type="dxa" w:w="30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Empowered Official (ITAR)</w:t>
            </w:r>
          </w:p>
        </w:tc>
        <w:tc>
          <w:tcPr>
            <w:tcW w:type="dxa" w:w="18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
            </w:r>
          </w:p>
        </w:tc>
        <w:tc>
          <w:tcPr>
            <w:tcW w:type="dxa" w:w="16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
            </w:r>
          </w:p>
        </w:tc>
        <w:tc>
          <w:tcPr>
            <w:tcW w:type="dxa" w:w="296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
            </w:r>
          </w:p>
        </w:tc>
      </w:tr>
      <w:tr>
        <w:tc>
          <w:tcPr>
            <w:tcW w:type="dxa" w:w="30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Ad hoc / incident-driven training</w:t>
            </w:r>
          </w:p>
        </w:tc>
        <w:tc>
          <w:tcPr>
            <w:tcW w:type="dxa" w:w="18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
            </w:r>
          </w:p>
        </w:tc>
        <w:tc>
          <w:tcPr>
            <w:tcW w:type="dxa" w:w="16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
            </w:r>
          </w:p>
        </w:tc>
        <w:tc>
          <w:tcPr>
            <w:tcW w:type="dxa" w:w="296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
            </w:r>
          </w:p>
        </w:tc>
      </w:tr>
    </w:tbl>
    <w:p>
      <w:pPr>
        <w:spacing w:after="100" w:before="0"/>
        <w:jc w:val="left"/>
      </w:pPr>
      <w:r>
        <w:rPr>
          <w:rFonts w:ascii="Times New Roman" w:cs="Times New Roman" w:eastAsia="Times New Roman" w:hAnsi="Times New Roman"/>
          <w:b w:val="false"/>
          <w:bCs w:val="false"/>
          <w:i w:val="false"/>
          <w:iCs w:val="false"/>
          <w:color w:val="000000"/>
          <w:sz w:val="24"/>
          <w:szCs w:val="24"/>
        </w:rPr>
        <w:t xml:space="preserve"/>
      </w:r>
    </w:p>
    <w:p>
      <w:pPr>
        <w:spacing w:after="160" w:before="0"/>
        <w:jc w:val="left"/>
      </w:pPr>
      <w:r>
        <w:rPr>
          <w:rFonts w:ascii="Times New Roman" w:cs="Times New Roman" w:eastAsia="Times New Roman" w:hAnsi="Times New Roman"/>
          <w:b w:val="false"/>
          <w:bCs w:val="false"/>
          <w:i w:val="false"/>
          <w:iCs w:val="false"/>
          <w:color w:val="000000"/>
          <w:sz w:val="24"/>
          <w:szCs w:val="24"/>
        </w:rPr>
        <w:t xml:space="preserve">Employees with overdue training:  [Number and departments. Describe remediation plan if applicable. Target completion date: ___.]</w:t>
      </w:r>
    </w:p>
    <w:p>
      <w:pPr>
        <w:spacing w:after="80" w:before="0"/>
        <w:jc w:val="left"/>
      </w:pPr>
      <w:r>
        <w:rPr>
          <w:rFonts w:ascii="Times New Roman" w:cs="Times New Roman" w:eastAsia="Times New Roman" w:hAnsi="Times New Roman"/>
          <w:b w:val="false"/>
          <w:bCs w:val="false"/>
          <w:i w:val="false"/>
          <w:iCs w:val="false"/>
          <w:color w:val="000000"/>
          <w:sz w:val="24"/>
          <w:szCs w:val="24"/>
        </w:rPr>
        <w:t xml:space="preserve"/>
      </w:r>
    </w:p>
    <w:p>
      <w:pPr>
        <w:pBdr>
          <w:bottom w:val="single" w:color="000000" w:sz="6" w:space="4"/>
        </w:pBdr>
        <w:spacing w:after="80" w:before="280"/>
      </w:pPr>
      <w:r>
        <w:rPr>
          <w:rFonts w:ascii="Times New Roman" w:cs="Times New Roman" w:eastAsia="Times New Roman" w:hAnsi="Times New Roman"/>
          <w:b/>
          <w:bCs/>
          <w:color w:val="000000"/>
          <w:sz w:val="24"/>
          <w:szCs w:val="24"/>
        </w:rPr>
        <w:t xml:space="preserve">B7.  Open Issues and Decisions Required</w:t>
      </w:r>
    </w:p>
    <w:p>
      <w:pPr>
        <w:spacing w:after="160" w:before="0"/>
        <w:jc w:val="left"/>
      </w:pPr>
      <w:r>
        <w:rPr>
          <w:rFonts w:ascii="Times New Roman" w:cs="Times New Roman" w:eastAsia="Times New Roman" w:hAnsi="Times New Roman"/>
          <w:b w:val="false"/>
          <w:bCs w:val="false"/>
          <w:i w:val="false"/>
          <w:iCs w:val="false"/>
          <w:color w:val="000000"/>
          <w:sz w:val="24"/>
          <w:szCs w:val="24"/>
        </w:rPr>
        <w:t xml:space="preserve">List items requiring leadership awareness, input, or a formal decision. State clearly what action or decision is being requested and by when.</w:t>
      </w:r>
    </w:p>
    <w:p>
      <w:pPr>
        <w:spacing w:after="80" w:before="0"/>
        <w:jc w:val="left"/>
      </w:pPr>
      <w:r>
        <w:rPr>
          <w:rFonts w:ascii="Times New Roman" w:cs="Times New Roman" w:eastAsia="Times New Roman" w:hAnsi="Times New Roman"/>
          <w:b w:val="false"/>
          <w:bCs w:val="false"/>
          <w:i w:val="false"/>
          <w:iCs w:val="false"/>
          <w:color w:val="000000"/>
          <w:sz w:val="24"/>
          <w:szCs w:val="2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3200"/>
        <w:gridCol w:w="2400"/>
        <w:gridCol w:w="1600"/>
        <w:gridCol w:w="1680"/>
      </w:tblGrid>
      <w:tr>
        <w:tc>
          <w:tcPr>
            <w:tcW w:type="dxa" w:w="480"/>
            <w:tcBorders>
              <w:top w:val="single" w:color="BBBBBB" w:sz="1"/>
              <w:left w:val="single" w:color="BBBBBB" w:sz="1"/>
              <w:bottom w:val="single" w:color="BBBBBB" w:sz="1"/>
              <w:right w:val="single" w:color="BBBBBB" w:sz="1"/>
            </w:tcBorders>
            <w:shd w:fill="EEEEEE" w:val="clear"/>
            <w:tcMar>
              <w:top w:type="dxa" w:w="80"/>
              <w:left w:type="dxa" w:w="100"/>
              <w:bottom w:type="dxa" w:w="80"/>
              <w:right w:type="dxa" w:w="100"/>
            </w:tcMar>
          </w:tcPr>
          <w:p>
            <w:pPr>
              <w:spacing w:after="0" w:before="0"/>
              <w:jc w:val="left"/>
            </w:pPr>
            <w:r>
              <w:rPr>
                <w:rFonts w:ascii="Times New Roman" w:cs="Times New Roman" w:eastAsia="Times New Roman" w:hAnsi="Times New Roman"/>
                <w:b/>
                <w:bCs/>
                <w:i w:val="false"/>
                <w:iCs w:val="false"/>
                <w:color w:val="000000"/>
                <w:sz w:val="22"/>
                <w:szCs w:val="22"/>
              </w:rPr>
              <w:t xml:space="preserve">#</w:t>
            </w:r>
          </w:p>
        </w:tc>
        <w:tc>
          <w:tcPr>
            <w:tcW w:type="dxa" w:w="3200"/>
            <w:tcBorders>
              <w:top w:val="single" w:color="BBBBBB" w:sz="1"/>
              <w:left w:val="single" w:color="BBBBBB" w:sz="1"/>
              <w:bottom w:val="single" w:color="BBBBBB" w:sz="1"/>
              <w:right w:val="single" w:color="BBBBBB" w:sz="1"/>
            </w:tcBorders>
            <w:shd w:fill="EEEEEE" w:val="clear"/>
            <w:tcMar>
              <w:top w:type="dxa" w:w="80"/>
              <w:left w:type="dxa" w:w="100"/>
              <w:bottom w:type="dxa" w:w="80"/>
              <w:right w:type="dxa" w:w="100"/>
            </w:tcMar>
          </w:tcPr>
          <w:p>
            <w:pPr>
              <w:spacing w:after="0" w:before="0"/>
              <w:jc w:val="left"/>
            </w:pPr>
            <w:r>
              <w:rPr>
                <w:rFonts w:ascii="Times New Roman" w:cs="Times New Roman" w:eastAsia="Times New Roman" w:hAnsi="Times New Roman"/>
                <w:b/>
                <w:bCs/>
                <w:i w:val="false"/>
                <w:iCs w:val="false"/>
                <w:color w:val="000000"/>
                <w:sz w:val="22"/>
                <w:szCs w:val="22"/>
              </w:rPr>
              <w:t xml:space="preserve">Issue Description</w:t>
            </w:r>
          </w:p>
        </w:tc>
        <w:tc>
          <w:tcPr>
            <w:tcW w:type="dxa" w:w="2400"/>
            <w:tcBorders>
              <w:top w:val="single" w:color="BBBBBB" w:sz="1"/>
              <w:left w:val="single" w:color="BBBBBB" w:sz="1"/>
              <w:bottom w:val="single" w:color="BBBBBB" w:sz="1"/>
              <w:right w:val="single" w:color="BBBBBB" w:sz="1"/>
            </w:tcBorders>
            <w:shd w:fill="EEEEEE" w:val="clear"/>
            <w:tcMar>
              <w:top w:type="dxa" w:w="80"/>
              <w:left w:type="dxa" w:w="100"/>
              <w:bottom w:type="dxa" w:w="80"/>
              <w:right w:type="dxa" w:w="100"/>
            </w:tcMar>
          </w:tcPr>
          <w:p>
            <w:pPr>
              <w:spacing w:after="0" w:before="0"/>
              <w:jc w:val="left"/>
            </w:pPr>
            <w:r>
              <w:rPr>
                <w:rFonts w:ascii="Times New Roman" w:cs="Times New Roman" w:eastAsia="Times New Roman" w:hAnsi="Times New Roman"/>
                <w:b/>
                <w:bCs/>
                <w:i w:val="false"/>
                <w:iCs w:val="false"/>
                <w:color w:val="000000"/>
                <w:sz w:val="22"/>
                <w:szCs w:val="22"/>
              </w:rPr>
              <w:t xml:space="preserve">Recommended Action</w:t>
            </w:r>
          </w:p>
        </w:tc>
        <w:tc>
          <w:tcPr>
            <w:tcW w:type="dxa" w:w="1600"/>
            <w:tcBorders>
              <w:top w:val="single" w:color="BBBBBB" w:sz="1"/>
              <w:left w:val="single" w:color="BBBBBB" w:sz="1"/>
              <w:bottom w:val="single" w:color="BBBBBB" w:sz="1"/>
              <w:right w:val="single" w:color="BBBBBB" w:sz="1"/>
            </w:tcBorders>
            <w:shd w:fill="EEEEEE" w:val="clear"/>
            <w:tcMar>
              <w:top w:type="dxa" w:w="80"/>
              <w:left w:type="dxa" w:w="100"/>
              <w:bottom w:type="dxa" w:w="80"/>
              <w:right w:type="dxa" w:w="100"/>
            </w:tcMar>
          </w:tcPr>
          <w:p>
            <w:pPr>
              <w:spacing w:after="0" w:before="0"/>
              <w:jc w:val="left"/>
            </w:pPr>
            <w:r>
              <w:rPr>
                <w:rFonts w:ascii="Times New Roman" w:cs="Times New Roman" w:eastAsia="Times New Roman" w:hAnsi="Times New Roman"/>
                <w:b/>
                <w:bCs/>
                <w:i w:val="false"/>
                <w:iCs w:val="false"/>
                <w:color w:val="000000"/>
                <w:sz w:val="22"/>
                <w:szCs w:val="22"/>
              </w:rPr>
              <w:t xml:space="preserve">Owner</w:t>
            </w:r>
          </w:p>
        </w:tc>
        <w:tc>
          <w:tcPr>
            <w:tcW w:type="dxa" w:w="1680"/>
            <w:tcBorders>
              <w:top w:val="single" w:color="BBBBBB" w:sz="1"/>
              <w:left w:val="single" w:color="BBBBBB" w:sz="1"/>
              <w:bottom w:val="single" w:color="BBBBBB" w:sz="1"/>
              <w:right w:val="single" w:color="BBBBBB" w:sz="1"/>
            </w:tcBorders>
            <w:shd w:fill="EEEEEE" w:val="clear"/>
            <w:tcMar>
              <w:top w:type="dxa" w:w="80"/>
              <w:left w:type="dxa" w:w="100"/>
              <w:bottom w:type="dxa" w:w="80"/>
              <w:right w:type="dxa" w:w="100"/>
            </w:tcMar>
          </w:tcPr>
          <w:p>
            <w:pPr>
              <w:spacing w:after="0" w:before="0"/>
              <w:jc w:val="left"/>
            </w:pPr>
            <w:r>
              <w:rPr>
                <w:rFonts w:ascii="Times New Roman" w:cs="Times New Roman" w:eastAsia="Times New Roman" w:hAnsi="Times New Roman"/>
                <w:b/>
                <w:bCs/>
                <w:i w:val="false"/>
                <w:iCs w:val="false"/>
                <w:color w:val="000000"/>
                <w:sz w:val="22"/>
                <w:szCs w:val="22"/>
              </w:rPr>
              <w:t xml:space="preserve">Target Date</w:t>
            </w:r>
          </w:p>
        </w:tc>
      </w:tr>
      <w:tr>
        <w:tc>
          <w:tcPr>
            <w:tcW w:type="dxa" w:w="48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1</w:t>
            </w:r>
          </w:p>
        </w:tc>
        <w:tc>
          <w:tcPr>
            <w:tcW w:type="dxa" w:w="32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[e.g., ITAR registration renewal due in 45 days]</w:t>
            </w:r>
          </w:p>
        </w:tc>
        <w:tc>
          <w:tcPr>
            <w:tcW w:type="dxa" w:w="24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Submit renewal — for awareness</w:t>
            </w:r>
          </w:p>
        </w:tc>
        <w:tc>
          <w:tcPr>
            <w:tcW w:type="dxa" w:w="16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ECO</w:t>
            </w:r>
          </w:p>
        </w:tc>
        <w:tc>
          <w:tcPr>
            <w:tcW w:type="dxa" w:w="168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[Date]</w:t>
            </w:r>
          </w:p>
        </w:tc>
      </w:tr>
      <w:tr>
        <w:tc>
          <w:tcPr>
            <w:tcW w:type="dxa" w:w="48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2</w:t>
            </w:r>
          </w:p>
        </w:tc>
        <w:tc>
          <w:tcPr>
            <w:tcW w:type="dxa" w:w="32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[e.g., Request for additional compliance analyst headcount]</w:t>
            </w:r>
          </w:p>
        </w:tc>
        <w:tc>
          <w:tcPr>
            <w:tcW w:type="dxa" w:w="24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Approve position — decision required</w:t>
            </w:r>
          </w:p>
        </w:tc>
        <w:tc>
          <w:tcPr>
            <w:tcW w:type="dxa" w:w="16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ECO / HR</w:t>
            </w:r>
          </w:p>
        </w:tc>
        <w:tc>
          <w:tcPr>
            <w:tcW w:type="dxa" w:w="168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[Date]</w:t>
            </w:r>
          </w:p>
        </w:tc>
      </w:tr>
      <w:tr>
        <w:tc>
          <w:tcPr>
            <w:tcW w:type="dxa" w:w="48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3</w:t>
            </w:r>
          </w:p>
        </w:tc>
        <w:tc>
          <w:tcPr>
            <w:tcW w:type="dxa" w:w="32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[Add issue]</w:t>
            </w:r>
          </w:p>
        </w:tc>
        <w:tc>
          <w:tcPr>
            <w:tcW w:type="dxa" w:w="24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
            </w:r>
          </w:p>
        </w:tc>
        <w:tc>
          <w:tcPr>
            <w:tcW w:type="dxa" w:w="160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
            </w:r>
          </w:p>
        </w:tc>
        <w:tc>
          <w:tcPr>
            <w:tcW w:type="dxa" w:w="1680"/>
            <w:tcBorders>
              <w:top w:val="single" w:color="BBBBBB" w:sz="1"/>
              <w:left w:val="single" w:color="BBBBBB" w:sz="1"/>
              <w:bottom w:val="single" w:color="BBBBBB" w:sz="1"/>
              <w:right w:val="single" w:color="BBBBBB" w:sz="1"/>
            </w:tcBorders>
            <w:shd w:fill="FFFFFF" w:val="clear"/>
            <w:tcMar>
              <w:top w:type="dxa" w:w="80"/>
              <w:left w:type="dxa" w:w="100"/>
              <w:bottom w:type="dxa" w:w="80"/>
              <w:right w:type="dxa" w:w="10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
            </w:r>
          </w:p>
        </w:tc>
      </w:tr>
    </w:tbl>
    <w:p>
      <w:pPr>
        <w:spacing w:after="160" w:before="0"/>
        <w:jc w:val="left"/>
      </w:pPr>
      <w:r>
        <w:rPr>
          <w:rFonts w:ascii="Times New Roman" w:cs="Times New Roman" w:eastAsia="Times New Roman" w:hAnsi="Times New Roman"/>
          <w:b w:val="false"/>
          <w:bCs w:val="false"/>
          <w:i w:val="false"/>
          <w:iCs w:val="false"/>
          <w:color w:val="000000"/>
          <w:sz w:val="24"/>
          <w:szCs w:val="24"/>
        </w:rPr>
        <w:t xml:space="preserve"/>
      </w:r>
    </w:p>
    <w:p>
      <w:pPr>
        <w:pBdr>
          <w:bottom w:val="single" w:color="000000" w:sz="6" w:space="4"/>
        </w:pBdr>
        <w:spacing w:after="80" w:before="280"/>
      </w:pPr>
      <w:r>
        <w:rPr>
          <w:rFonts w:ascii="Times New Roman" w:cs="Times New Roman" w:eastAsia="Times New Roman" w:hAnsi="Times New Roman"/>
          <w:b/>
          <w:bCs/>
          <w:color w:val="000000"/>
          <w:sz w:val="24"/>
          <w:szCs w:val="24"/>
        </w:rPr>
        <w:t xml:space="preserve">B8.  Next Steps and Next Briefing</w:t>
      </w:r>
    </w:p>
    <w:p>
      <w:pPr>
        <w:pStyle w:val="ListParagraph"/>
        <w:numPr>
          <w:ilvl w:val="0"/>
          <w:numId w:val="2"/>
        </w:numPr>
        <w:spacing w:after="80" w:before="0"/>
      </w:pPr>
      <w:r>
        <w:rPr>
          <w:rFonts w:ascii="Times New Roman" w:cs="Times New Roman" w:eastAsia="Times New Roman" w:hAnsi="Times New Roman"/>
          <w:sz w:val="24"/>
          <w:szCs w:val="24"/>
        </w:rPr>
        <w:t xml:space="preserve">[Action item agreed — Owner — Due date]</w:t>
      </w:r>
    </w:p>
    <w:p>
      <w:pPr>
        <w:pStyle w:val="ListParagraph"/>
        <w:numPr>
          <w:ilvl w:val="0"/>
          <w:numId w:val="2"/>
        </w:numPr>
        <w:spacing w:after="80" w:before="0"/>
      </w:pPr>
      <w:r>
        <w:rPr>
          <w:rFonts w:ascii="Times New Roman" w:cs="Times New Roman" w:eastAsia="Times New Roman" w:hAnsi="Times New Roman"/>
          <w:sz w:val="24"/>
          <w:szCs w:val="24"/>
        </w:rPr>
        <w:t xml:space="preserve">[Action item agreed — Owner — Due date]</w:t>
      </w:r>
    </w:p>
    <w:p>
      <w:pPr>
        <w:spacing w:after="120" w:before="0"/>
        <w:jc w:val="left"/>
      </w:pPr>
      <w:r>
        <w:rPr>
          <w:rFonts w:ascii="Times New Roman" w:cs="Times New Roman" w:eastAsia="Times New Roman" w:hAnsi="Times New Roman"/>
          <w:b w:val="false"/>
          <w:bCs w:val="false"/>
          <w:i w:val="false"/>
          <w:iCs w:val="false"/>
          <w:color w:val="000000"/>
          <w:sz w:val="24"/>
          <w:szCs w:val="24"/>
        </w:rPr>
        <w:t xml:space="preserve"/>
      </w:r>
    </w:p>
    <w:p>
      <w:pPr>
        <w:spacing w:after="80" w:before="0"/>
        <w:jc w:val="left"/>
      </w:pPr>
      <w:r>
        <w:rPr>
          <w:rFonts w:ascii="Times New Roman" w:cs="Times New Roman" w:eastAsia="Times New Roman" w:hAnsi="Times New Roman"/>
          <w:b/>
          <w:bCs/>
          <w:i w:val="false"/>
          <w:iCs w:val="false"/>
          <w:color w:val="000000"/>
          <w:sz w:val="24"/>
          <w:szCs w:val="24"/>
        </w:rPr>
        <w:t xml:space="preserve">Next scheduled briefing:</w:t>
      </w:r>
      <w:r>
        <w:rPr>
          <w:rFonts w:ascii="Times New Roman" w:cs="Times New Roman" w:eastAsia="Times New Roman" w:hAnsi="Times New Roman"/>
          <w:b w:val="false"/>
          <w:bCs w:val="false"/>
          <w:i w:val="false"/>
          <w:iCs w:val="false"/>
          <w:color w:val="000000"/>
          <w:sz w:val="24"/>
          <w:szCs w:val="24"/>
        </w:rPr>
        <w:t xml:space="preserve">  [Date — Target: within 90 days]</w:t>
      </w:r>
    </w:p>
    <w:p>
      <w:pPr>
        <w:spacing w:after="80" w:before="0"/>
        <w:jc w:val="left"/>
      </w:pPr>
      <w:r>
        <w:rPr>
          <w:rFonts w:ascii="Times New Roman" w:cs="Times New Roman" w:eastAsia="Times New Roman" w:hAnsi="Times New Roman"/>
          <w:b/>
          <w:bCs/>
          <w:i w:val="false"/>
          <w:iCs w:val="false"/>
          <w:color w:val="000000"/>
          <w:sz w:val="24"/>
          <w:szCs w:val="24"/>
        </w:rPr>
        <w:t xml:space="preserve">Prepared by:</w:t>
      </w:r>
      <w:r>
        <w:rPr>
          <w:rFonts w:ascii="Times New Roman" w:cs="Times New Roman" w:eastAsia="Times New Roman" w:hAnsi="Times New Roman"/>
          <w:b w:val="false"/>
          <w:bCs w:val="false"/>
          <w:i w:val="false"/>
          <w:iCs w:val="false"/>
          <w:color w:val="000000"/>
          <w:sz w:val="24"/>
          <w:szCs w:val="24"/>
        </w:rPr>
        <w:t xml:space="preserve">  [Name, Title]</w:t>
      </w:r>
    </w:p>
    <w:p>
      <w:pPr>
        <w:spacing w:after="80" w:before="0"/>
        <w:jc w:val="left"/>
      </w:pPr>
      <w:r>
        <w:rPr>
          <w:rFonts w:ascii="Times New Roman" w:cs="Times New Roman" w:eastAsia="Times New Roman" w:hAnsi="Times New Roman"/>
          <w:b/>
          <w:bCs/>
          <w:i w:val="false"/>
          <w:iCs w:val="false"/>
          <w:color w:val="000000"/>
          <w:sz w:val="24"/>
          <w:szCs w:val="24"/>
        </w:rPr>
        <w:t xml:space="preserve">Date prepared:</w:t>
      </w:r>
      <w:r>
        <w:rPr>
          <w:rFonts w:ascii="Times New Roman" w:cs="Times New Roman" w:eastAsia="Times New Roman" w:hAnsi="Times New Roman"/>
          <w:b w:val="false"/>
          <w:bCs w:val="false"/>
          <w:i w:val="false"/>
          <w:iCs w:val="false"/>
          <w:color w:val="000000"/>
          <w:sz w:val="24"/>
          <w:szCs w:val="24"/>
        </w:rPr>
        <w:t xml:space="preserve">  [Date]</w:t>
      </w:r>
    </w:p>
    <w:p>
      <w:pPr>
        <w:spacing w:after="200" w:before="0"/>
        <w:jc w:val="left"/>
      </w:pPr>
      <w:r>
        <w:rPr>
          <w:rFonts w:ascii="Times New Roman" w:cs="Times New Roman" w:eastAsia="Times New Roman" w:hAnsi="Times New Roman"/>
          <w:b w:val="false"/>
          <w:bCs w:val="false"/>
          <w:i w:val="false"/>
          <w:iCs w:val="false"/>
          <w:color w:val="000000"/>
          <w:sz w:val="24"/>
          <w:szCs w:val="24"/>
        </w:rPr>
        <w:t xml:space="preserve"/>
      </w:r>
    </w:p>
    <w:p>
      <w:pPr>
        <w:pBdr>
          <w:top w:val="single" w:color="AAAAAA" w:sz="4" w:space="4"/>
        </w:pBdr>
        <w:spacing w:after="60" w:before="0"/>
      </w:pPr>
      <w:r>
        <w:rPr>
          <w:rFonts w:ascii="Times New Roman" w:cs="Times New Roman" w:eastAsia="Times New Roman" w:hAnsi="Times New Roman"/>
          <w:b w:val="false"/>
          <w:bCs w:val="false"/>
          <w:i w:val="false"/>
          <w:iCs w:val="false"/>
          <w:color w:val="000000"/>
          <w:sz w:val="24"/>
          <w:szCs w:val="24"/>
        </w:rPr>
        <w:t xml:space="preserve"/>
      </w:r>
    </w:p>
    <w:p>
      <w:pPr>
        <w:spacing w:after="0" w:before="0"/>
        <w:jc w:val="center"/>
      </w:pPr>
      <w:r>
        <w:rPr>
          <w:rFonts w:ascii="Times New Roman" w:cs="Times New Roman" w:eastAsia="Times New Roman" w:hAnsi="Times New Roman"/>
          <w:b w:val="false"/>
          <w:bCs w:val="false"/>
          <w:i/>
          <w:iCs/>
          <w:color w:val="555555"/>
          <w:sz w:val="18"/>
          <w:szCs w:val="18"/>
        </w:rPr>
        <w:t xml:space="preserve">ECP-GOV-004  —  For informational and governance purposes. Adapt to your organization's specific regulatory obligations and consult qualified legal counsel before use.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after="0" w:before="60"/>
      <w:jc w:val="center"/>
    </w:pPr>
    <w:r>
      <w:rPr>
        <w:rFonts w:ascii="Times New Roman" w:cs="Times New Roman" w:eastAsia="Times New Roman" w:hAnsi="Times New Roman"/>
        <w:b w:val="false"/>
        <w:bCs w:val="false"/>
        <w:i w:val="false"/>
        <w:iCs w:val="false"/>
        <w:color w:val="555555"/>
        <w:sz w:val="18"/>
        <w:szCs w:val="18"/>
      </w:rPr>
      <w:t xml:space="preserve">ECP-GOV-004   |   Page </w:t>
    </w:r>
    <w:r>
      <w:rPr>
        <w:rFonts w:ascii="Times New Roman" w:cs="Times New Roman" w:eastAsia="Times New Roman" w:hAnsi="Times New Roman"/>
        <w:color w:val="555555"/>
        <w:sz w:val="18"/>
        <w:szCs w:val="18"/>
      </w:rPr>
      <w:fldChar w:fldCharType="begin"/>
      <w:instrText xml:space="preserve">PAGE</w:instrText>
      <w:fldChar w:fldCharType="separate"/>
      <w:fldChar w:fldCharType="end"/>
    </w:r>
    <w:r>
      <w:rPr>
        <w:rFonts w:ascii="Times New Roman" w:cs="Times New Roman" w:eastAsia="Times New Roman" w:hAnsi="Times New Roman"/>
        <w:b w:val="false"/>
        <w:bCs w:val="false"/>
        <w:i w:val="false"/>
        <w:iCs w:val="false"/>
        <w:color w:val="555555"/>
        <w:sz w:val="18"/>
        <w:szCs w:val="18"/>
      </w:rPr>
      <w:t xml:space="preserve">  of  </w:t>
    </w:r>
    <w:r>
      <w:rPr>
        <w:rFonts w:ascii="Times New Roman" w:cs="Times New Roman" w:eastAsia="Times New Roman" w:hAnsi="Times New Roman"/>
        <w:color w:val="555555"/>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0" w:before="0"/>
      <w:jc w:val="left"/>
    </w:pPr>
    <w:r>
      <w:rPr>
        <w:rFonts w:ascii="Times New Roman" w:cs="Times New Roman" w:eastAsia="Times New Roman" w:hAnsi="Times New Roman"/>
        <w:b w:val="false"/>
        <w:bCs w:val="false"/>
        <w:i w:val="false"/>
        <w:iCs w:val="false"/>
        <w:color w:val="000000"/>
        <w:sz w:val="24"/>
        <w:szCs w:val="24"/>
      </w:rP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2026-04-20T20:22:46.614Z</dcterms:created>
  <dcterms:modified xsi:type="dcterms:W3CDTF">2026-04-20T20:22:46.616Z</dcterms:modified>
</cp:coreProperties>
</file>

<file path=docProps/custom.xml><?xml version="1.0" encoding="utf-8"?>
<Properties xmlns="http://schemas.openxmlformats.org/officeDocument/2006/custom-properties" xmlns:vt="http://schemas.openxmlformats.org/officeDocument/2006/docPropsVTypes"/>
</file>