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bCs/>
          <w:i w:val="false"/>
          <w:iCs w:val="false"/>
          <w:caps/>
          <w:sz w:val="32"/>
          <w:szCs w:val="32"/>
        </w:rPr>
        <w:t xml:space="preserve">BLANKET END-USER STATEMENT</w:t>
      </w:r>
    </w:p>
    <w:p>
      <w:pPr>
        <w:spacing w:after="60"/>
        <w:jc w:val="center"/>
      </w:pPr>
      <w:r>
        <w:rPr>
          <w:rFonts w:ascii="Times New Roman" w:cs="Times New Roman" w:eastAsia="Times New Roman" w:hAnsi="Times New Roman"/>
          <w:b w:val="false"/>
          <w:bCs w:val="false"/>
          <w:i/>
          <w:iCs/>
          <w:caps w:val="false"/>
          <w:sz w:val="24"/>
          <w:szCs w:val="24"/>
        </w:rPr>
        <w:t xml:space="preserve">Statement by Ultimate Consignee and Purchaser</w:t>
      </w:r>
    </w:p>
    <w:p>
      <w:pPr>
        <w:spacing w:after="280"/>
        <w:jc w:val="center"/>
      </w:pPr>
      <w:r>
        <w:rPr>
          <w:rFonts w:ascii="Times New Roman" w:cs="Times New Roman" w:eastAsia="Times New Roman" w:hAnsi="Times New Roman"/>
          <w:b w:val="false"/>
          <w:bCs w:val="false"/>
          <w:i w:val="false"/>
          <w:iCs w:val="false"/>
          <w:caps w:val="false"/>
          <w:sz w:val="20"/>
          <w:szCs w:val="20"/>
        </w:rPr>
        <w:t xml:space="preserve">15 CFR Parts 730–774 (EAR)  |  22 CFR Parts 120–130 (ITAR)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8F4EC" w:val="clear"/>
            <w:tcMar>
              <w:top w:type="dxa" w:w="120"/>
              <w:left w:type="dxa" w:w="180"/>
              <w:bottom w:type="dxa" w:w="120"/>
              <w:right w:type="dxa" w:w="180"/>
            </w:tcMar>
          </w:tcPr>
          <w:p>
            <w:pPr>
              <w:spacing w:after="80"/>
            </w:pPr>
            <w:r>
              <w:rPr>
                <w:rFonts w:ascii="Times New Roman" w:cs="Times New Roman" w:eastAsia="Times New Roman" w:hAnsi="Times New Roman"/>
                <w:b/>
                <w:bCs/>
                <w:i w:val="false"/>
                <w:iCs w:val="false"/>
                <w:caps w:val="false"/>
                <w:sz w:val="20"/>
                <w:szCs w:val="20"/>
              </w:rPr>
              <w:t xml:space="preserve">IMPORTANT NOTICE TO ULTIMATE CONSIGNEE AND PURCHASER</w:t>
            </w:r>
          </w:p>
          <w:p>
            <w:pPr>
              <w:spacing w:after="80"/>
            </w:pPr>
            <w:r>
              <w:rPr>
                <w:rFonts w:ascii="Times New Roman" w:cs="Times New Roman" w:eastAsia="Times New Roman" w:hAnsi="Times New Roman"/>
                <w:b w:val="false"/>
                <w:bCs w:val="false"/>
                <w:i w:val="false"/>
                <w:iCs w:val="false"/>
                <w:caps w:val="false"/>
                <w:sz w:val="20"/>
                <w:szCs w:val="20"/>
              </w:rPr>
              <w:t xml:space="preserve">This Blanket End-User Statement ("Statement") is required as a condition of export or re-export under U.S. law.  Items covered by this Statement may be subject to the Export Administration Regulations (EAR, 15 CFR Parts 730–774) administered by the Bureau of Industry and Security (BIS), and/or the International Traffic in Arms Regulations (ITAR, 22 CFR Parts 120–130) administered by the Directorate of Defense Trade Controls (DDTC).  By executing this Statement, the Ultimate Consignee and Purchaser certify compliance with all applicable requirements.</w:t>
            </w:r>
          </w:p>
          <w:p>
            <w:pPr>
              <w:spacing w:after="0"/>
            </w:pPr>
            <w:r>
              <w:rPr>
                <w:rFonts w:ascii="Times New Roman" w:cs="Times New Roman" w:eastAsia="Times New Roman" w:hAnsi="Times New Roman"/>
                <w:b w:val="false"/>
                <w:bCs w:val="false"/>
                <w:i/>
                <w:iCs/>
                <w:caps w:val="false"/>
                <w:sz w:val="20"/>
                <w:szCs w:val="20"/>
              </w:rPr>
              <w:t xml:space="preserve">Information furnished herewith is subject to the provisions of the Export Control Reform Act (ECRA).  False statements may subject the signatory to civil penalties and criminal prosecution under U.S. law.  This Statement covers all qualifying shipments from the identified U.S. Exporter during the validity period below, not to exceed two (2) years.</w:t>
            </w:r>
          </w:p>
        </w:tc>
      </w:tr>
    </w:tbl>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1.  ULTIMATE CONSIGNEE</w:t>
      </w:r>
    </w:p>
    <w:p>
      <w:pPr>
        <w:spacing w:after="140"/>
        <w:jc w:val="left"/>
      </w:pPr>
      <w:r>
        <w:rPr>
          <w:rFonts w:ascii="Times New Roman" w:cs="Times New Roman" w:eastAsia="Times New Roman" w:hAnsi="Times New Roman"/>
          <w:b w:val="false"/>
          <w:bCs w:val="false"/>
          <w:i w:val="false"/>
          <w:iCs w:val="false"/>
          <w:caps w:val="false"/>
          <w:sz w:val="22"/>
          <w:szCs w:val="22"/>
        </w:rPr>
        <w:t xml:space="preserve">Identify the party that will receive and take title to the exported items in the country of ultimate destination.  If the Purchaser is different from the Ultimate Consignee, also complete Section 6.2.</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Company Name: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Address Line 1:</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Address Line 2:</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City:</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tcPr>
          <w:tbl>
            <w:tblPr>
              <w:tblW w:type="dxa" w:w="6720"/>
              <w:tblBorders>
                <w:top w:val="single" w:color="auto" w:sz="4"/>
                <w:left w:val="single" w:color="auto" w:sz="4"/>
                <w:bottom w:val="single" w:color="auto" w:sz="4"/>
                <w:right w:val="single" w:color="auto" w:sz="4"/>
                <w:insideH w:val="single" w:color="auto" w:sz="4"/>
                <w:insideV w:val="single" w:color="auto" w:sz="4"/>
              </w:tblBorders>
            </w:tblPr>
            <w:tblGrid>
              <w:gridCol w:w="2800"/>
              <w:gridCol w:w="1960"/>
              <w:gridCol w:w="1960"/>
            </w:tblGrid>
            <w:tr>
              <w:tc>
                <w:tcPr>
                  <w:tcW w:type="dxa" w:w="2800"/>
                  <w:tcBorders>
                    <w:top w:val="none" w:color="FFFFFF" w:sz="0"/>
                    <w:left w:val="none" w:color="FFFFFF" w:sz="0"/>
                    <w:bottom w:val="none" w:color="FFFFFF" w:sz="0"/>
                    <w:right w:val="none" w:color="FFFFFF" w:sz="0"/>
                  </w:tcBorders>
                  <w:tcMar>
                    <w:top w:type="dxa" w:w="0"/>
                    <w:left w:type="dxa" w:w="0"/>
                    <w:bottom w:type="dxa" w:w="0"/>
                    <w:right w:type="dxa" w:w="80"/>
                  </w:tcMar>
                </w:tcPr>
                <w:p>
                  <w:r>
                    <w:rPr>
                      <w:rFonts w:ascii="Times New Roman" w:cs="Times New Roman" w:eastAsia="Times New Roman" w:hAnsi="Times New Roman"/>
                      <w:b w:val="false"/>
                      <w:bCs w:val="false"/>
                      <w:i w:val="false"/>
                      <w:iCs w:val="false"/>
                      <w:caps w:val="false"/>
                      <w:sz w:val="22"/>
                      <w:szCs w:val="22"/>
                    </w:rPr>
                    <w:t xml:space="preserve"/>
                  </w:r>
                </w:p>
              </w:tc>
              <w:tc>
                <w:tcPr>
                  <w:tcW w:type="dxa" w:w="196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140"/>
                    <w:jc w:val="left"/>
                  </w:pPr>
                  <w:r>
                    <w:rPr>
                      <w:rFonts w:ascii="Times New Roman" w:cs="Times New Roman" w:eastAsia="Times New Roman" w:hAnsi="Times New Roman"/>
                      <w:b/>
                      <w:bCs/>
                      <w:i w:val="false"/>
                      <w:iCs w:val="false"/>
                      <w:caps w:val="false"/>
                      <w:sz w:val="22"/>
                      <w:szCs w:val="22"/>
                    </w:rPr>
                    <w:t xml:space="preserve">Country:</w:t>
                  </w:r>
                </w:p>
                <w:p>
                  <w:pPr>
                    <w:spacing w:after="120"/>
                  </w:pPr>
                </w:p>
                <w:p>
                  <w:pPr>
                    <w:pBdr>
                      <w:bottom w:val="single" w:color="AAAAAA" w:sz="2" w:space="1"/>
                    </w:pBdr>
                    <w:spacing w:after="60"/>
                  </w:pPr>
                </w:p>
              </w:tc>
              <w:tc>
                <w:tcPr>
                  <w:tcW w:type="dxa" w:w="196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140"/>
                    <w:jc w:val="left"/>
                  </w:pPr>
                  <w:r>
                    <w:rPr>
                      <w:rFonts w:ascii="Times New Roman" w:cs="Times New Roman" w:eastAsia="Times New Roman" w:hAnsi="Times New Roman"/>
                      <w:b/>
                      <w:bCs/>
                      <w:i w:val="false"/>
                      <w:iCs w:val="false"/>
                      <w:caps w:val="false"/>
                      <w:sz w:val="22"/>
                      <w:szCs w:val="22"/>
                    </w:rPr>
                    <w:t xml:space="preserve">Postal Code:</w:t>
                  </w:r>
                </w:p>
                <w:p>
                  <w:pPr>
                    <w:spacing w:after="120"/>
                  </w:pPr>
                </w:p>
                <w:p>
                  <w:pPr>
                    <w:pBdr>
                      <w:bottom w:val="single" w:color="AAAAAA" w:sz="2" w:space="1"/>
                    </w:pBdr>
                    <w:spacing w:after="60"/>
                  </w:pPr>
                </w:p>
              </w:tc>
            </w:tr>
          </w:tbl>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Telephone / Fax:</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Authorized Contact Name: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Title: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Email:</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bl>
    <w:p>
      <w:pPr>
        <w:spacing w:after="1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Nature of usual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280"/>
            </w:pPr>
          </w:p>
        </w:tc>
      </w:tr>
    </w:tbl>
    <w:p>
      <w:pPr>
        <w:spacing w:after="80"/>
      </w:pPr>
    </w:p>
    <w:p>
      <w:pPr>
        <w:spacing w:after="140"/>
        <w:jc w:val="left"/>
      </w:pPr>
      <w:r>
        <w:rPr>
          <w:rFonts w:ascii="Times New Roman" w:cs="Times New Roman" w:eastAsia="Times New Roman" w:hAnsi="Times New Roman"/>
          <w:b w:val="false"/>
          <w:bCs w:val="false"/>
          <w:i w:val="false"/>
          <w:iCs w:val="false"/>
          <w:caps w:val="false"/>
          <w:sz w:val="22"/>
          <w:szCs w:val="22"/>
        </w:rPr>
        <w:t xml:space="preserve">Business relationship with U.S. Exporter: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1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jc w:val="left"/>
            </w:pPr>
            <w:r>
              <w:rPr>
                <w:rFonts w:ascii="Times New Roman" w:cs="Times New Roman" w:eastAsia="Times New Roman" w:hAnsi="Times New Roman"/>
                <w:b/>
                <w:bCs/>
                <w:i w:val="false"/>
                <w:iCs w:val="false"/>
                <w:caps w:val="false"/>
                <w:sz w:val="22"/>
                <w:szCs w:val="22"/>
              </w:rPr>
              <w:t xml:space="preserve">Duration:</w:t>
            </w:r>
          </w:p>
          <w:p>
            <w:pPr>
              <w:spacing w:after="140"/>
              <w:jc w:val="left"/>
            </w:pPr>
            <w:r>
              <w:rPr>
                <w:rFonts w:ascii="Times New Roman" w:cs="Times New Roman" w:eastAsia="Times New Roman" w:hAnsi="Times New Roman"/>
                <w:b w:val="false"/>
                <w:bCs w:val="false"/>
                <w:i w:val="false"/>
                <w:iCs w:val="false"/>
                <w:caps w:val="false"/>
                <w:sz w:val="22"/>
                <w:szCs w:val="22"/>
              </w:rPr>
              <w:t xml:space="preserve">_____ year(s)</w:t>
            </w:r>
          </w:p>
        </w:tc>
      </w:tr>
    </w:tbl>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2.  ITEMS COVERED</w:t>
      </w:r>
    </w:p>
    <w:p>
      <w:pPr>
        <w:spacing w:after="140"/>
        <w:jc w:val="left"/>
      </w:pPr>
      <w:r>
        <w:rPr>
          <w:rFonts w:ascii="Times New Roman" w:cs="Times New Roman" w:eastAsia="Times New Roman" w:hAnsi="Times New Roman"/>
          <w:b/>
          <w:bCs/>
          <w:i w:val="false"/>
          <w:iCs w:val="false"/>
          <w:caps w:val="false"/>
          <w:sz w:val="22"/>
          <w:szCs w:val="22"/>
        </w:rPr>
        <w:t xml:space="preserve">2.1  Validity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80"/>
        <w:gridCol w:w="2400"/>
        <w:gridCol w:w="2280"/>
      </w:tblGrid>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Effective Date:</w:t>
            </w:r>
          </w:p>
        </w:tc>
        <w:tc>
          <w:tcPr>
            <w:tcW w:type="dxa" w:w="22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Expiration Date:</w:t>
            </w:r>
          </w:p>
        </w:tc>
        <w:tc>
          <w:tcPr>
            <w:tcW w:type="dxa" w:w="22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bl>
    <w:p>
      <w:pPr>
        <w:spacing w:after="80"/>
      </w:pPr>
    </w:p>
    <w:p>
      <w:pPr>
        <w:spacing w:after="140"/>
        <w:jc w:val="left"/>
      </w:pPr>
      <w:r>
        <w:rPr>
          <w:rFonts w:ascii="Times New Roman" w:cs="Times New Roman" w:eastAsia="Times New Roman" w:hAnsi="Times New Roman"/>
          <w:b w:val="false"/>
          <w:bCs w:val="false"/>
          <w:i w:val="false"/>
          <w:iCs w:val="false"/>
          <w:caps w:val="false"/>
          <w:sz w:val="22"/>
          <w:szCs w:val="22"/>
        </w:rPr>
        <w:t xml:space="preserve">This Statement is valid for all shipments of covered items received from the U.S. Exporter identified in Section 7 during the validity period above.  No single validity period may exceed two (2) years from the Effective Date.</w:t>
      </w:r>
    </w:p>
    <w:p>
      <w:pPr>
        <w:spacing w:after="160"/>
      </w:pPr>
    </w:p>
    <w:p>
      <w:pPr>
        <w:spacing w:after="140"/>
        <w:jc w:val="left"/>
      </w:pPr>
      <w:r>
        <w:rPr>
          <w:rFonts w:ascii="Times New Roman" w:cs="Times New Roman" w:eastAsia="Times New Roman" w:hAnsi="Times New Roman"/>
          <w:b/>
          <w:bCs/>
          <w:i w:val="false"/>
          <w:iCs w:val="false"/>
          <w:caps w:val="false"/>
          <w:sz w:val="22"/>
          <w:szCs w:val="22"/>
        </w:rPr>
        <w:t xml:space="preserve">2.2  Item Schedule</w:t>
      </w:r>
    </w:p>
    <w:p>
      <w:pPr>
        <w:spacing w:after="140"/>
        <w:jc w:val="left"/>
      </w:pPr>
      <w:r>
        <w:rPr>
          <w:rFonts w:ascii="Times New Roman" w:cs="Times New Roman" w:eastAsia="Times New Roman" w:hAnsi="Times New Roman"/>
          <w:b w:val="false"/>
          <w:bCs w:val="false"/>
          <w:i w:val="false"/>
          <w:iCs w:val="false"/>
          <w:caps w:val="false"/>
          <w:sz w:val="22"/>
          <w:szCs w:val="22"/>
        </w:rPr>
        <w:t xml:space="preserve">List all items, product categories, or technical data covered.  Attach a continuation sheet if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1800"/>
        <w:gridCol w:w="2200"/>
      </w:tblGrid>
      <w:tr>
        <w:tc>
          <w:tcPr>
            <w:tcW w:type="dxa" w:w="336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Item / Product Category Description</w:t>
            </w:r>
          </w:p>
        </w:tc>
        <w:tc>
          <w:tcPr>
            <w:tcW w:type="dxa" w:w="20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ECCN or USML Category</w:t>
            </w:r>
          </w:p>
        </w:tc>
        <w:tc>
          <w:tcPr>
            <w:tcW w:type="dxa" w:w="18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Part No. / Model
(if known)</w:t>
            </w:r>
          </w:p>
        </w:tc>
        <w:tc>
          <w:tcPr>
            <w:tcW w:type="dxa" w:w="22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Applicable Regime</w:t>
            </w:r>
          </w:p>
        </w:tc>
      </w:tr>
      <w:tr>
        <w:tc>
          <w:tcPr>
            <w:tcW w:type="dxa" w:w="3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0"/>
                <w:szCs w:val="20"/>
              </w:rPr>
              <w:t xml:space="preserve">☐ EAR     ☐ ITAR</w:t>
            </w:r>
          </w:p>
        </w:tc>
      </w:tr>
      <w:tr>
        <w:tc>
          <w:tcPr>
            <w:tcW w:type="dxa" w:w="3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0"/>
                <w:szCs w:val="20"/>
              </w:rPr>
              <w:t xml:space="preserve">☐ EAR     ☐ ITAR</w:t>
            </w:r>
          </w:p>
        </w:tc>
      </w:tr>
      <w:tr>
        <w:tc>
          <w:tcPr>
            <w:tcW w:type="dxa" w:w="3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0"/>
                <w:szCs w:val="20"/>
              </w:rPr>
              <w:t xml:space="preserve">☐ EAR     ☐ ITAR</w:t>
            </w:r>
          </w:p>
        </w:tc>
      </w:tr>
      <w:tr>
        <w:tc>
          <w:tcPr>
            <w:tcW w:type="dxa" w:w="3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0"/>
                <w:szCs w:val="20"/>
              </w:rPr>
              <w:t xml:space="preserve">☐ EAR     ☐ ITAR</w:t>
            </w:r>
          </w:p>
        </w:tc>
      </w:tr>
      <w:tr>
        <w:tc>
          <w:tcPr>
            <w:tcW w:type="dxa" w:w="3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0"/>
                <w:szCs w:val="20"/>
              </w:rPr>
              <w:t xml:space="preserve">☐ EAR     ☐ ITAR</w:t>
            </w:r>
          </w:p>
        </w:tc>
      </w:tr>
    </w:tbl>
    <w:p>
      <w:pPr>
        <w:spacing w:after="60"/>
      </w:pPr>
    </w:p>
    <w:p>
      <w:pPr>
        <w:spacing w:after="140"/>
        <w:jc w:val="left"/>
      </w:pPr>
      <w:r>
        <w:rPr>
          <w:rFonts w:ascii="Times New Roman" w:cs="Times New Roman" w:eastAsia="Times New Roman" w:hAnsi="Times New Roman"/>
          <w:b w:val="false"/>
          <w:bCs w:val="false"/>
          <w:i/>
          <w:iCs/>
          <w:caps w:val="false"/>
          <w:sz w:val="22"/>
          <w:szCs w:val="22"/>
        </w:rPr>
        <w:t xml:space="preserve">Items not listed above are NOT covered by this Statement and require a separate end-user certificate.</w:t>
      </w:r>
    </w:p>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3.  DISPOSITION AND END-USE OF ITEMS</w:t>
      </w:r>
    </w:p>
    <w:p>
      <w:pPr>
        <w:spacing w:after="140"/>
        <w:jc w:val="left"/>
      </w:pPr>
      <w:r>
        <w:rPr>
          <w:rFonts w:ascii="Times New Roman" w:cs="Times New Roman" w:eastAsia="Times New Roman" w:hAnsi="Times New Roman"/>
          <w:b w:val="false"/>
          <w:bCs w:val="false"/>
          <w:i w:val="false"/>
          <w:iCs w:val="false"/>
          <w:caps w:val="false"/>
          <w:sz w:val="22"/>
          <w:szCs w:val="22"/>
        </w:rPr>
        <w:t xml:space="preserve">3.1  Check all applicable boxes and complete any required descriptions.  All representations apply to every shipment received under this Statement.</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1480"/>
        <w:gridCol w:w="7520"/>
      </w:tblGrid>
      <w:tr>
        <w:tc>
          <w:tcPr>
            <w:tcW w:type="dxa" w:w="36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c>
          <w:tcPr>
            <w:tcW w:type="dxa" w:w="148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Box</w:t>
            </w:r>
          </w:p>
        </w:tc>
        <w:tc>
          <w:tcPr>
            <w:tcW w:type="dxa" w:w="752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Disposition Statement</w:t>
            </w:r>
          </w:p>
        </w:tc>
      </w:tr>
      <w:tr>
        <w:tc>
          <w:tcPr>
            <w:tcW w:type="dxa" w:w="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4"/>
                <w:szCs w:val="24"/>
              </w:rPr>
              <w:t xml:space="preserve">☐</w:t>
            </w:r>
          </w:p>
        </w:tc>
        <w:tc>
          <w:tcPr>
            <w:tcW w:type="dxa" w:w="14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A</w:t>
            </w:r>
          </w:p>
        </w:tc>
        <w:tc>
          <w:tcPr>
            <w:tcW w:type="dxa" w:w="752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bCs/>
                <w:i w:val="false"/>
                <w:iCs w:val="false"/>
                <w:caps w:val="false"/>
                <w:sz w:val="22"/>
                <w:szCs w:val="22"/>
              </w:rPr>
              <w:t xml:space="preserve">Capital Equipment — Internal Manufacturing Use</w:t>
            </w:r>
          </w:p>
          <w:p>
            <w:pPr>
              <w:spacing w:after="0"/>
            </w:pPr>
            <w:r>
              <w:rPr>
                <w:rFonts w:ascii="Times New Roman" w:cs="Times New Roman" w:eastAsia="Times New Roman" w:hAnsi="Times New Roman"/>
                <w:b w:val="false"/>
                <w:bCs w:val="false"/>
                <w:i w:val="false"/>
                <w:iCs w:val="false"/>
                <w:caps w:val="false"/>
                <w:sz w:val="22"/>
                <w:szCs w:val="22"/>
              </w:rPr>
              <w:t xml:space="preserve">Items will be used by us as capital equipment in the form received in a manufacturing process in the country named in Section 1 and will not be re-exported or incorporated into an end product for export.</w:t>
            </w:r>
          </w:p>
        </w:tc>
      </w:tr>
      <w:tr>
        <w:tc>
          <w:tcPr>
            <w:tcW w:type="dxa" w:w="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4"/>
                <w:szCs w:val="24"/>
              </w:rPr>
              <w:t xml:space="preserve">☐</w:t>
            </w:r>
          </w:p>
        </w:tc>
        <w:tc>
          <w:tcPr>
            <w:tcW w:type="dxa" w:w="14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B</w:t>
            </w:r>
          </w:p>
        </w:tc>
        <w:tc>
          <w:tcPr>
            <w:tcW w:type="dxa" w:w="752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bCs/>
                <w:i w:val="false"/>
                <w:iCs w:val="false"/>
                <w:caps w:val="false"/>
                <w:sz w:val="22"/>
                <w:szCs w:val="22"/>
              </w:rPr>
              <w:t xml:space="preserve">Processing / Incorporation into End Product</w:t>
            </w:r>
          </w:p>
          <w:p>
            <w:pPr>
              <w:spacing w:after="60"/>
            </w:pPr>
            <w:r>
              <w:rPr>
                <w:rFonts w:ascii="Times New Roman" w:cs="Times New Roman" w:eastAsia="Times New Roman" w:hAnsi="Times New Roman"/>
                <w:b w:val="false"/>
                <w:bCs w:val="false"/>
                <w:i w:val="false"/>
                <w:iCs w:val="false"/>
                <w:caps w:val="false"/>
                <w:sz w:val="22"/>
                <w:szCs w:val="22"/>
              </w:rPr>
              <w:t xml:space="preserve">Items will be processed or incorporated by us into: </w:t>
            </w:r>
            <w:r>
              <w:rPr>
                <w:rFonts w:ascii="Times New Roman" w:cs="Times New Roman" w:eastAsia="Times New Roman" w:hAnsi="Times New Roman"/>
                <w:b w:val="false"/>
                <w:bCs w:val="false"/>
                <w:i w:val="false"/>
                <w:iCs w:val="false"/>
                <w:caps w:val="false"/>
                <w:sz w:val="22"/>
                <w:szCs w:val="22"/>
                <w:u w:val="single"/>
              </w:rPr>
              <w:t xml:space="preserve">________________________________________________</w:t>
            </w:r>
          </w:p>
          <w:p>
            <w:pPr>
              <w:spacing w:after="0"/>
            </w:pPr>
            <w:r>
              <w:rPr>
                <w:rFonts w:ascii="Times New Roman" w:cs="Times New Roman" w:eastAsia="Times New Roman" w:hAnsi="Times New Roman"/>
                <w:b w:val="false"/>
                <w:bCs w:val="false"/>
                <w:i w:val="false"/>
                <w:iCs w:val="false"/>
                <w:caps w:val="false"/>
                <w:sz w:val="22"/>
                <w:szCs w:val="22"/>
              </w:rPr>
              <w:t xml:space="preserve">to be manufactured in the country named in Section 1 for distribution in: </w:t>
            </w:r>
            <w:r>
              <w:rPr>
                <w:rFonts w:ascii="Times New Roman" w:cs="Times New Roman" w:eastAsia="Times New Roman" w:hAnsi="Times New Roman"/>
                <w:b w:val="false"/>
                <w:bCs w:val="false"/>
                <w:i w:val="false"/>
                <w:iCs w:val="false"/>
                <w:caps w:val="false"/>
                <w:sz w:val="22"/>
                <w:szCs w:val="22"/>
                <w:u w:val="single"/>
              </w:rPr>
              <w:t xml:space="preserve">_______________________________</w:t>
            </w:r>
          </w:p>
        </w:tc>
      </w:tr>
      <w:tr>
        <w:tc>
          <w:tcPr>
            <w:tcW w:type="dxa" w:w="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4"/>
                <w:szCs w:val="24"/>
              </w:rPr>
              <w:t xml:space="preserve">☐</w:t>
            </w:r>
          </w:p>
        </w:tc>
        <w:tc>
          <w:tcPr>
            <w:tcW w:type="dxa" w:w="14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C</w:t>
            </w:r>
          </w:p>
        </w:tc>
        <w:tc>
          <w:tcPr>
            <w:tcW w:type="dxa" w:w="752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bCs/>
                <w:i w:val="false"/>
                <w:iCs w:val="false"/>
                <w:caps w:val="false"/>
                <w:sz w:val="22"/>
                <w:szCs w:val="22"/>
              </w:rPr>
              <w:t xml:space="preserve">Resale — Domestic (Country Named in Section 1 Only)</w:t>
            </w:r>
          </w:p>
          <w:p>
            <w:pPr>
              <w:spacing w:after="60"/>
            </w:pPr>
            <w:r>
              <w:rPr>
                <w:rFonts w:ascii="Times New Roman" w:cs="Times New Roman" w:eastAsia="Times New Roman" w:hAnsi="Times New Roman"/>
                <w:b w:val="false"/>
                <w:bCs w:val="false"/>
                <w:i w:val="false"/>
                <w:iCs w:val="false"/>
                <w:caps w:val="false"/>
                <w:sz w:val="22"/>
                <w:szCs w:val="22"/>
              </w:rPr>
              <w:t xml:space="preserve">Items will be resold by us in the form received in the country named in Section 1 for use or consumption therein.</w:t>
            </w:r>
          </w:p>
          <w:p>
            <w:pPr>
              <w:spacing w:after="0"/>
            </w:pPr>
            <w:r>
              <w:rPr>
                <w:rFonts w:ascii="Times New Roman" w:cs="Times New Roman" w:eastAsia="Times New Roman" w:hAnsi="Times New Roman"/>
                <w:b w:val="false"/>
                <w:bCs w:val="false"/>
                <w:i w:val="false"/>
                <w:iCs w:val="false"/>
                <w:caps w:val="false"/>
                <w:sz w:val="22"/>
                <w:szCs w:val="22"/>
              </w:rPr>
              <w:t xml:space="preserve">Specific end-use by customer: </w:t>
            </w:r>
            <w:r>
              <w:rPr>
                <w:rFonts w:ascii="Times New Roman" w:cs="Times New Roman" w:eastAsia="Times New Roman" w:hAnsi="Times New Roman"/>
                <w:b w:val="false"/>
                <w:bCs w:val="false"/>
                <w:i w:val="false"/>
                <w:iCs w:val="false"/>
                <w:caps w:val="false"/>
                <w:sz w:val="22"/>
                <w:szCs w:val="22"/>
                <w:u w:val="single"/>
              </w:rPr>
              <w:t xml:space="preserve">______________________________________________</w:t>
            </w:r>
          </w:p>
        </w:tc>
      </w:tr>
      <w:tr>
        <w:tc>
          <w:tcPr>
            <w:tcW w:type="dxa" w:w="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4"/>
                <w:szCs w:val="24"/>
              </w:rPr>
              <w:t xml:space="preserve">☐</w:t>
            </w:r>
          </w:p>
        </w:tc>
        <w:tc>
          <w:tcPr>
            <w:tcW w:type="dxa" w:w="14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D</w:t>
            </w:r>
          </w:p>
        </w:tc>
        <w:tc>
          <w:tcPr>
            <w:tcW w:type="dxa" w:w="752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bCs/>
                <w:i w:val="false"/>
                <w:iCs w:val="false"/>
                <w:caps w:val="false"/>
                <w:sz w:val="22"/>
                <w:szCs w:val="22"/>
              </w:rPr>
              <w:t xml:space="preserve">Re-export / Re-transfer to Third Country</w:t>
            </w:r>
          </w:p>
          <w:p>
            <w:pPr>
              <w:spacing w:after="60"/>
            </w:pPr>
            <w:r>
              <w:rPr>
                <w:rFonts w:ascii="Times New Roman" w:cs="Times New Roman" w:eastAsia="Times New Roman" w:hAnsi="Times New Roman"/>
                <w:b w:val="false"/>
                <w:bCs w:val="false"/>
                <w:i w:val="false"/>
                <w:iCs w:val="false"/>
                <w:caps w:val="false"/>
                <w:sz w:val="22"/>
                <w:szCs w:val="22"/>
              </w:rPr>
              <w:t xml:space="preserve">Items will be re-exported/re-transferred in the form received to: </w:t>
            </w:r>
            <w:r>
              <w:rPr>
                <w:rFonts w:ascii="Times New Roman" w:cs="Times New Roman" w:eastAsia="Times New Roman" w:hAnsi="Times New Roman"/>
                <w:b w:val="false"/>
                <w:bCs w:val="false"/>
                <w:i w:val="false"/>
                <w:iCs w:val="false"/>
                <w:caps w:val="false"/>
                <w:sz w:val="22"/>
                <w:szCs w:val="22"/>
                <w:u w:val="single"/>
              </w:rPr>
              <w:t xml:space="preserve">________________________</w:t>
            </w:r>
          </w:p>
          <w:p>
            <w:pPr>
              <w:spacing w:after="0"/>
            </w:pPr>
            <w:r>
              <w:rPr>
                <w:rFonts w:ascii="Times New Roman" w:cs="Times New Roman" w:eastAsia="Times New Roman" w:hAnsi="Times New Roman"/>
                <w:b w:val="false"/>
                <w:bCs w:val="false"/>
                <w:i/>
                <w:iCs/>
                <w:caps w:val="false"/>
                <w:sz w:val="20"/>
                <w:szCs w:val="20"/>
              </w:rPr>
              <w:t xml:space="preserve">NOTE (EAR):  Acceptance of this Statement as a supporting document for a BIS license application does not constitute authorization to re-export.  Separate BIS authorization is required.  NOTE (ITAR):  Re-transfer of ITAR-controlled articles or technical data to any third party or country requires prior written consent of DDTC (22 CFR § 123.9) and is not authorized by this Statement.</w:t>
            </w:r>
          </w:p>
        </w:tc>
      </w:tr>
      <w:tr>
        <w:tc>
          <w:tcPr>
            <w:tcW w:type="dxa" w:w="3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caps w:val="false"/>
                <w:sz w:val="24"/>
                <w:szCs w:val="24"/>
              </w:rPr>
              <w:t xml:space="preserve">☐</w:t>
            </w:r>
          </w:p>
        </w:tc>
        <w:tc>
          <w:tcPr>
            <w:tcW w:type="dxa" w:w="148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caps w:val="false"/>
                <w:sz w:val="22"/>
                <w:szCs w:val="22"/>
              </w:rPr>
              <w:t xml:space="preserve">E</w:t>
            </w:r>
          </w:p>
        </w:tc>
        <w:tc>
          <w:tcPr>
            <w:tcW w:type="dxa" w:w="752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bCs/>
                <w:i w:val="false"/>
                <w:iCs w:val="false"/>
                <w:caps w:val="false"/>
                <w:sz w:val="22"/>
                <w:szCs w:val="22"/>
              </w:rPr>
              <w:t xml:space="preserve">Other (describe fully):</w:t>
            </w:r>
          </w:p>
          <w:p>
            <w:pPr>
              <w:spacing w:after="320"/>
            </w:pPr>
          </w:p>
        </w:tc>
      </w:tr>
    </w:tbl>
    <w:p>
      <w:pPr>
        <w:spacing w:after="160"/>
      </w:pPr>
    </w:p>
    <w:p>
      <w:pPr>
        <w:spacing w:after="140"/>
        <w:jc w:val="left"/>
      </w:pPr>
      <w:r>
        <w:rPr>
          <w:rFonts w:ascii="Times New Roman" w:cs="Times New Roman" w:eastAsia="Times New Roman" w:hAnsi="Times New Roman"/>
          <w:b/>
          <w:bCs/>
          <w:i w:val="false"/>
          <w:iCs w:val="false"/>
          <w:caps w:val="false"/>
          <w:sz w:val="22"/>
          <w:szCs w:val="22"/>
        </w:rPr>
        <w:t xml:space="preserve">3.2  Prohibited End-Uses.  The Ultimate Consignee certifies that covered items will NOT be used, directly or indirectly, in connection with:</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000"/>
        <w:gridCol w:w="1000"/>
      </w:tblGrid>
      <w:tr>
        <w:tc>
          <w:tcPr>
            <w:tcW w:type="dxa" w:w="36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(a)</w:t>
            </w:r>
          </w:p>
        </w:tc>
        <w:tc>
          <w:tcPr>
            <w:tcW w:type="dxa" w:w="800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caps w:val="false"/>
                <w:sz w:val="22"/>
                <w:szCs w:val="22"/>
              </w:rPr>
              <w:t xml:space="preserve">The design, development, production, stockpiling, or use of nuclear, chemical, biological, or radiological weapons (CBRN) or missile delivery systems therefor — regardless of ECCN or USML category;</w:t>
            </w:r>
          </w:p>
        </w:tc>
        <w:tc>
          <w:tcPr>
            <w:tcW w:type="dxa" w:w="100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36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(b)</w:t>
            </w:r>
          </w:p>
        </w:tc>
        <w:tc>
          <w:tcPr>
            <w:tcW w:type="dxa" w:w="800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caps w:val="false"/>
                <w:sz w:val="22"/>
                <w:szCs w:val="22"/>
              </w:rPr>
              <w:t xml:space="preserve">Any military end-use (as defined in 15 CFR § 744.21) unless specifically authorized by a U.S. Government export license or other authorization;</w:t>
            </w:r>
          </w:p>
        </w:tc>
        <w:tc>
          <w:tcPr>
            <w:tcW w:type="dxa" w:w="100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36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(c)</w:t>
            </w:r>
          </w:p>
        </w:tc>
        <w:tc>
          <w:tcPr>
            <w:tcW w:type="dxa" w:w="800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caps w:val="false"/>
                <w:sz w:val="22"/>
                <w:szCs w:val="22"/>
              </w:rPr>
              <w:t xml:space="preserve">Any transaction involving a person or entity on the U.S. Consolidated Screening List (SDN, EL, DPL, CONS, UVL, or other restricted party designation); or</w:t>
            </w:r>
          </w:p>
        </w:tc>
        <w:tc>
          <w:tcPr>
            <w:tcW w:type="dxa" w:w="100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36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(d)</w:t>
            </w:r>
          </w:p>
        </w:tc>
        <w:tc>
          <w:tcPr>
            <w:tcW w:type="dxa" w:w="800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caps w:val="false"/>
                <w:sz w:val="22"/>
                <w:szCs w:val="22"/>
              </w:rPr>
              <w:t xml:space="preserve">Any transaction involving a country or region subject to comprehensive U.S. economic sanctions or ITAR embargo (including Cuba, Iran, North Korea, Syria, Russia/Belarus per current orders, and the Crimea/Donetsk/Luhansk regions of Ukraine), or a country listed at 22 CFR § 126.1.</w:t>
            </w:r>
          </w:p>
        </w:tc>
        <w:tc>
          <w:tcPr>
            <w:tcW w:type="dxa" w:w="1000"/>
            <w:tcBorders>
              <w:top w:val="none" w:color="FFFFFF" w:sz="0"/>
              <w:left w:val="none" w:color="FFFFFF" w:sz="0"/>
              <w:bottom w:val="none" w:color="FFFFFF" w:sz="0"/>
              <w:right w:val="none" w:color="FFFFFF" w:sz="0"/>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bl>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4.  CERTIFICATION AND COMMITMENTS</w:t>
      </w:r>
    </w:p>
    <w:p>
      <w:pPr>
        <w:spacing w:after="140"/>
        <w:jc w:val="left"/>
      </w:pPr>
      <w:r>
        <w:rPr>
          <w:rFonts w:ascii="Times New Roman" w:cs="Times New Roman" w:eastAsia="Times New Roman" w:hAnsi="Times New Roman"/>
          <w:b w:val="false"/>
          <w:bCs w:val="false"/>
          <w:i w:val="false"/>
          <w:iCs w:val="false"/>
          <w:caps w:val="false"/>
          <w:sz w:val="22"/>
          <w:szCs w:val="22"/>
        </w:rPr>
        <w:t xml:space="preserve">We certify that all facts contained in this Statement are true and correct to the best of our knowledge and we do not know of any additional facts inconsistent with the above.  We agree to the following for the entire validity period of this Statement:</w:t>
      </w:r>
    </w:p>
    <w:p>
      <w:pPr>
        <w:spacing w:after="120"/>
      </w:pPr>
    </w:p>
    <w:p>
      <w:pPr>
        <w:spacing w:after="140"/>
        <w:ind w:left="360"/>
      </w:pPr>
      <w:r>
        <w:rPr>
          <w:rFonts w:ascii="Times New Roman" w:cs="Times New Roman" w:eastAsia="Times New Roman" w:hAnsi="Times New Roman"/>
          <w:b/>
          <w:bCs/>
          <w:i w:val="false"/>
          <w:iCs w:val="false"/>
          <w:caps w:val="false"/>
          <w:sz w:val="22"/>
          <w:szCs w:val="22"/>
        </w:rPr>
        <w:t xml:space="preserve">4.1  </w:t>
      </w:r>
      <w:r>
        <w:rPr>
          <w:rFonts w:ascii="Times New Roman" w:cs="Times New Roman" w:eastAsia="Times New Roman" w:hAnsi="Times New Roman"/>
          <w:b/>
          <w:bCs/>
          <w:i w:val="false"/>
          <w:iCs w:val="false"/>
          <w:caps w:val="false"/>
          <w:sz w:val="22"/>
          <w:szCs w:val="22"/>
          <w:u w:val="single"/>
        </w:rPr>
        <w:t xml:space="preserve">Notification of Changed Facts (EAR &amp; ITAR).  </w:t>
      </w:r>
      <w:r>
        <w:rPr>
          <w:rFonts w:ascii="Times New Roman" w:cs="Times New Roman" w:eastAsia="Times New Roman" w:hAnsi="Times New Roman"/>
          <w:b w:val="false"/>
          <w:bCs w:val="false"/>
          <w:i w:val="false"/>
          <w:iCs w:val="false"/>
          <w:caps w:val="false"/>
          <w:sz w:val="22"/>
          <w:szCs w:val="22"/>
        </w:rPr>
        <w:t xml:space="preserve">We shall promptly send a supplemental statement to the U.S. Exporter disclosing any change in facts or intentions set forth in this Statement within five (5) business days of discovery, including any change in intended end-use, end-user, ownership, or control.</w:t>
      </w:r>
    </w:p>
    <w:p>
      <w:pPr>
        <w:spacing w:after="140"/>
        <w:ind w:left="360"/>
      </w:pPr>
      <w:r>
        <w:rPr>
          <w:rFonts w:ascii="Times New Roman" w:cs="Times New Roman" w:eastAsia="Times New Roman" w:hAnsi="Times New Roman"/>
          <w:b/>
          <w:bCs/>
          <w:i w:val="false"/>
          <w:iCs w:val="false"/>
          <w:caps w:val="false"/>
          <w:sz w:val="22"/>
          <w:szCs w:val="22"/>
        </w:rPr>
        <w:t xml:space="preserve">4.2  </w:t>
      </w:r>
      <w:r>
        <w:rPr>
          <w:rFonts w:ascii="Times New Roman" w:cs="Times New Roman" w:eastAsia="Times New Roman" w:hAnsi="Times New Roman"/>
          <w:b/>
          <w:bCs/>
          <w:i w:val="false"/>
          <w:iCs w:val="false"/>
          <w:caps w:val="false"/>
          <w:sz w:val="22"/>
          <w:szCs w:val="22"/>
          <w:u w:val="single"/>
        </w:rPr>
        <w:t xml:space="preserve">Re-export and Re-transfer Restriction (EAR).  </w:t>
      </w:r>
      <w:r>
        <w:rPr>
          <w:rFonts w:ascii="Times New Roman" w:cs="Times New Roman" w:eastAsia="Times New Roman" w:hAnsi="Times New Roman"/>
          <w:b w:val="false"/>
          <w:bCs w:val="false"/>
          <w:i w:val="false"/>
          <w:iCs w:val="false"/>
          <w:caps w:val="false"/>
          <w:sz w:val="22"/>
          <w:szCs w:val="22"/>
        </w:rPr>
        <w:t xml:space="preserve">Except as specifically authorized by the U.S. Export Administration Regulations (15 CFR Parts 730–774), or by prior written approval of BIS, we will not re-export, resell, or otherwise dispose of any items covered by this Statement: (a) to any country not approved for export as indicated to us by bill of lading, commercial invoice, or other means; or (b) to any person if we know that it will result, directly or indirectly, in disposition of the items contrary to the representations made herein or contrary to the EAR.</w:t>
      </w:r>
    </w:p>
    <w:p>
      <w:pPr>
        <w:spacing w:after="140"/>
        <w:ind w:left="360"/>
      </w:pPr>
      <w:r>
        <w:rPr>
          <w:rFonts w:ascii="Times New Roman" w:cs="Times New Roman" w:eastAsia="Times New Roman" w:hAnsi="Times New Roman"/>
          <w:b/>
          <w:bCs/>
          <w:i w:val="false"/>
          <w:iCs w:val="false"/>
          <w:caps w:val="false"/>
          <w:sz w:val="22"/>
          <w:szCs w:val="22"/>
        </w:rPr>
        <w:t xml:space="preserve">4.3  </w:t>
      </w:r>
      <w:r>
        <w:rPr>
          <w:rFonts w:ascii="Times New Roman" w:cs="Times New Roman" w:eastAsia="Times New Roman" w:hAnsi="Times New Roman"/>
          <w:b/>
          <w:bCs/>
          <w:i w:val="false"/>
          <w:iCs w:val="false"/>
          <w:caps w:val="false"/>
          <w:sz w:val="22"/>
          <w:szCs w:val="22"/>
          <w:u w:val="single"/>
        </w:rPr>
        <w:t xml:space="preserve">Re-transfer Restriction (ITAR).  </w:t>
      </w:r>
      <w:r>
        <w:rPr>
          <w:rFonts w:ascii="Times New Roman" w:cs="Times New Roman" w:eastAsia="Times New Roman" w:hAnsi="Times New Roman"/>
          <w:b w:val="false"/>
          <w:bCs w:val="false"/>
          <w:i w:val="false"/>
          <w:iCs w:val="false"/>
          <w:caps w:val="false"/>
          <w:sz w:val="22"/>
          <w:szCs w:val="22"/>
        </w:rPr>
        <w:t xml:space="preserve">If any covered item is subject to the ITAR, we will not re-transfer, re-export, or otherwise dispose of any ITAR-controlled article, technical data, or defense service to any third party or foreign country without prior written consent of DDTC as required by 22 CFR § 123.9.  We acknowledge that ITAR controls follow the item, not the transaction.</w:t>
      </w:r>
    </w:p>
    <w:p>
      <w:pPr>
        <w:spacing w:after="140"/>
        <w:ind w:left="360"/>
      </w:pPr>
      <w:r>
        <w:rPr>
          <w:rFonts w:ascii="Times New Roman" w:cs="Times New Roman" w:eastAsia="Times New Roman" w:hAnsi="Times New Roman"/>
          <w:b/>
          <w:bCs/>
          <w:i w:val="false"/>
          <w:iCs w:val="false"/>
          <w:caps w:val="false"/>
          <w:sz w:val="22"/>
          <w:szCs w:val="22"/>
        </w:rPr>
        <w:t xml:space="preserve">4.4  </w:t>
      </w:r>
      <w:r>
        <w:rPr>
          <w:rFonts w:ascii="Times New Roman" w:cs="Times New Roman" w:eastAsia="Times New Roman" w:hAnsi="Times New Roman"/>
          <w:b/>
          <w:bCs/>
          <w:i w:val="false"/>
          <w:iCs w:val="false"/>
          <w:caps w:val="false"/>
          <w:sz w:val="22"/>
          <w:szCs w:val="22"/>
          <w:u w:val="single"/>
        </w:rPr>
        <w:t xml:space="preserve">Restricted Parties Screening.  </w:t>
      </w:r>
      <w:r>
        <w:rPr>
          <w:rFonts w:ascii="Times New Roman" w:cs="Times New Roman" w:eastAsia="Times New Roman" w:hAnsi="Times New Roman"/>
          <w:b w:val="false"/>
          <w:bCs w:val="false"/>
          <w:i w:val="false"/>
          <w:iCs w:val="false"/>
          <w:caps w:val="false"/>
          <w:sz w:val="22"/>
          <w:szCs w:val="22"/>
        </w:rPr>
        <w:t xml:space="preserve">We have screened, and will re-screen prior to any transfer or resale, all parties involved in transactions covered by this Statement against the U.S. Consolidated Screening List.  We will immediately notify the U.S. Exporter if any match is identified.</w:t>
      </w:r>
    </w:p>
    <w:p>
      <w:pPr>
        <w:spacing w:after="140"/>
        <w:ind w:left="360"/>
      </w:pPr>
      <w:r>
        <w:rPr>
          <w:rFonts w:ascii="Times New Roman" w:cs="Times New Roman" w:eastAsia="Times New Roman" w:hAnsi="Times New Roman"/>
          <w:b/>
          <w:bCs/>
          <w:i w:val="false"/>
          <w:iCs w:val="false"/>
          <w:caps w:val="false"/>
          <w:sz w:val="22"/>
          <w:szCs w:val="22"/>
        </w:rPr>
        <w:t xml:space="preserve">4.5  </w:t>
      </w:r>
      <w:r>
        <w:rPr>
          <w:rFonts w:ascii="Times New Roman" w:cs="Times New Roman" w:eastAsia="Times New Roman" w:hAnsi="Times New Roman"/>
          <w:b/>
          <w:bCs/>
          <w:i w:val="false"/>
          <w:iCs w:val="false"/>
          <w:caps w:val="false"/>
          <w:sz w:val="22"/>
          <w:szCs w:val="22"/>
          <w:u w:val="single"/>
        </w:rPr>
        <w:t xml:space="preserve">Foreign National Access (ITAR Deemed Export).  </w:t>
      </w:r>
      <w:r>
        <w:rPr>
          <w:rFonts w:ascii="Times New Roman" w:cs="Times New Roman" w:eastAsia="Times New Roman" w:hAnsi="Times New Roman"/>
          <w:b w:val="false"/>
          <w:bCs w:val="false"/>
          <w:i w:val="false"/>
          <w:iCs w:val="false"/>
          <w:caps w:val="false"/>
          <w:sz w:val="22"/>
          <w:szCs w:val="22"/>
        </w:rPr>
        <w:t xml:space="preserve">If any covered item is ITAR-controlled, we confirm that no national of an ITAR-proscribed country listed at 22 CFR § 126.1 will be given access to such items or associated technical data without prior DDTC authorization.</w:t>
      </w:r>
    </w:p>
    <w:p>
      <w:pPr>
        <w:spacing w:after="140"/>
        <w:ind w:left="360"/>
      </w:pPr>
      <w:r>
        <w:rPr>
          <w:rFonts w:ascii="Times New Roman" w:cs="Times New Roman" w:eastAsia="Times New Roman" w:hAnsi="Times New Roman"/>
          <w:b/>
          <w:bCs/>
          <w:i w:val="false"/>
          <w:iCs w:val="false"/>
          <w:caps w:val="false"/>
          <w:sz w:val="22"/>
          <w:szCs w:val="22"/>
        </w:rPr>
        <w:t xml:space="preserve">4.6  </w:t>
      </w:r>
      <w:r>
        <w:rPr>
          <w:rFonts w:ascii="Times New Roman" w:cs="Times New Roman" w:eastAsia="Times New Roman" w:hAnsi="Times New Roman"/>
          <w:b/>
          <w:bCs/>
          <w:i w:val="false"/>
          <w:iCs w:val="false"/>
          <w:caps w:val="false"/>
          <w:sz w:val="22"/>
          <w:szCs w:val="22"/>
          <w:u w:val="single"/>
        </w:rPr>
        <w:t xml:space="preserve">Recordkeeping.  </w:t>
      </w:r>
      <w:r>
        <w:rPr>
          <w:rFonts w:ascii="Times New Roman" w:cs="Times New Roman" w:eastAsia="Times New Roman" w:hAnsi="Times New Roman"/>
          <w:b w:val="false"/>
          <w:bCs w:val="false"/>
          <w:i w:val="false"/>
          <w:iCs w:val="false"/>
          <w:caps w:val="false"/>
          <w:sz w:val="22"/>
          <w:szCs w:val="22"/>
        </w:rPr>
        <w:t xml:space="preserve">We will maintain complete records of all transactions covered by this Statement — including shipping documents, invoices, transfer authorizations, and screening records — for not less than five (5) years from the date of each shipment, or as otherwise required by applicable law.</w:t>
      </w:r>
    </w:p>
    <w:p>
      <w:pPr>
        <w:spacing w:after="140"/>
        <w:ind w:left="360"/>
      </w:pPr>
      <w:r>
        <w:rPr>
          <w:rFonts w:ascii="Times New Roman" w:cs="Times New Roman" w:eastAsia="Times New Roman" w:hAnsi="Times New Roman"/>
          <w:b/>
          <w:bCs/>
          <w:i w:val="false"/>
          <w:iCs w:val="false"/>
          <w:caps w:val="false"/>
          <w:sz w:val="22"/>
          <w:szCs w:val="22"/>
        </w:rPr>
        <w:t xml:space="preserve">4.7  </w:t>
      </w:r>
      <w:r>
        <w:rPr>
          <w:rFonts w:ascii="Times New Roman" w:cs="Times New Roman" w:eastAsia="Times New Roman" w:hAnsi="Times New Roman"/>
          <w:b/>
          <w:bCs/>
          <w:i w:val="false"/>
          <w:iCs w:val="false"/>
          <w:caps w:val="false"/>
          <w:sz w:val="22"/>
          <w:szCs w:val="22"/>
          <w:u w:val="single"/>
        </w:rPr>
        <w:t xml:space="preserve">U.S. Government Post-Shipment Verification.  </w:t>
      </w:r>
      <w:r>
        <w:rPr>
          <w:rFonts w:ascii="Times New Roman" w:cs="Times New Roman" w:eastAsia="Times New Roman" w:hAnsi="Times New Roman"/>
          <w:b w:val="false"/>
          <w:bCs w:val="false"/>
          <w:i w:val="false"/>
          <w:iCs w:val="false"/>
          <w:caps w:val="false"/>
          <w:sz w:val="22"/>
          <w:szCs w:val="22"/>
        </w:rPr>
        <w:t xml:space="preserve">We consent to on-site post-shipment verification visits by representatives of BIS, DDTC, OFAC, or their authorized agents, upon reasonable prior notice.</w:t>
      </w:r>
    </w:p>
    <w:p>
      <w:pPr>
        <w:spacing w:after="140"/>
        <w:ind w:left="360"/>
      </w:pPr>
      <w:r>
        <w:rPr>
          <w:rFonts w:ascii="Times New Roman" w:cs="Times New Roman" w:eastAsia="Times New Roman" w:hAnsi="Times New Roman"/>
          <w:b/>
          <w:bCs/>
          <w:i w:val="false"/>
          <w:iCs w:val="false"/>
          <w:caps w:val="false"/>
          <w:sz w:val="22"/>
          <w:szCs w:val="22"/>
        </w:rPr>
        <w:t xml:space="preserve">4.8  </w:t>
      </w:r>
      <w:r>
        <w:rPr>
          <w:rFonts w:ascii="Times New Roman" w:cs="Times New Roman" w:eastAsia="Times New Roman" w:hAnsi="Times New Roman"/>
          <w:b/>
          <w:bCs/>
          <w:i w:val="false"/>
          <w:iCs w:val="false"/>
          <w:caps w:val="false"/>
          <w:sz w:val="22"/>
          <w:szCs w:val="22"/>
          <w:u w:val="single"/>
        </w:rPr>
        <w:t xml:space="preserve">Part 130 Reporting (ITAR — Significant Military Equipment).  </w:t>
      </w:r>
      <w:r>
        <w:rPr>
          <w:rFonts w:ascii="Times New Roman" w:cs="Times New Roman" w:eastAsia="Times New Roman" w:hAnsi="Times New Roman"/>
          <w:b w:val="false"/>
          <w:bCs w:val="false"/>
          <w:i w:val="false"/>
          <w:iCs w:val="false"/>
          <w:caps w:val="false"/>
          <w:sz w:val="22"/>
          <w:szCs w:val="22"/>
        </w:rPr>
        <w:t xml:space="preserve">If any covered item constitutes Significant Military Equipment (SME) under 22 CFR § 120.36, we acknowledge reporting obligations under 22 CFR Part 130 may apply to the U.S. Exporter and agree to provide the Exporter any required payment information within thirty (30) days of request.</w:t>
      </w:r>
    </w:p>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5.  ADDITIONAL INFORMATION</w:t>
      </w:r>
    </w:p>
    <w:p>
      <w:pPr>
        <w:spacing w:after="140"/>
        <w:jc w:val="left"/>
      </w:pPr>
      <w:r>
        <w:rPr>
          <w:rFonts w:ascii="Times New Roman" w:cs="Times New Roman" w:eastAsia="Times New Roman" w:hAnsi="Times New Roman"/>
          <w:b w:val="false"/>
          <w:bCs w:val="false"/>
          <w:i w:val="false"/>
          <w:iCs w:val="false"/>
          <w:caps w:val="false"/>
          <w:sz w:val="22"/>
          <w:szCs w:val="22"/>
        </w:rPr>
        <w:t xml:space="preserve">Provide any additional information relevant to this Statement, including license numbers, provisos, or special conditions: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80"/>
            </w:pPr>
          </w:p>
        </w:tc>
      </w:tr>
    </w:tbl>
    <w:p>
      <w:pPr>
        <w:spacing w:after="140"/>
      </w:pPr>
    </w:p>
    <w:p>
      <w:pPr>
        <w:spacing w:after="140"/>
        <w:jc w:val="left"/>
      </w:pPr>
      <w:r>
        <w:rPr>
          <w:rFonts w:ascii="Times New Roman" w:cs="Times New Roman" w:eastAsia="Times New Roman" w:hAnsi="Times New Roman"/>
          <w:b w:val="false"/>
          <w:bCs w:val="false"/>
          <w:i w:val="false"/>
          <w:iCs w:val="false"/>
          <w:caps w:val="false"/>
          <w:sz w:val="22"/>
          <w:szCs w:val="22"/>
        </w:rPr>
        <w:t xml:space="preserve">Assistance in preparing this Statement was provided by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240"/>
            </w:pPr>
          </w:p>
        </w:tc>
      </w:tr>
    </w:tbl>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6.  SIGNATURES</w:t>
      </w:r>
    </w:p>
    <w:p>
      <w:pPr>
        <w:spacing w:after="200"/>
        <w:jc w:val="left"/>
      </w:pPr>
      <w:r>
        <w:rPr>
          <w:rFonts w:ascii="Times New Roman" w:cs="Times New Roman" w:eastAsia="Times New Roman" w:hAnsi="Times New Roman"/>
          <w:b w:val="false"/>
          <w:bCs w:val="false"/>
          <w:i/>
          <w:iCs/>
          <w:caps w:val="false"/>
          <w:sz w:val="22"/>
          <w:szCs w:val="22"/>
        </w:rPr>
        <w:t xml:space="preserve">We acknowledge that the making of any false statements or concealment of any material fact in connection with this Statement may result in imprisonment or fine, or both, and denial, in whole or in part, of participation in U.S. exports and re-exports.</w:t>
      </w:r>
    </w:p>
    <w:p>
      <w:pPr>
        <w:spacing w:after="120"/>
        <w:jc w:val="left"/>
      </w:pPr>
      <w:r>
        <w:rPr>
          <w:rFonts w:ascii="Times New Roman" w:cs="Times New Roman" w:eastAsia="Times New Roman" w:hAnsi="Times New Roman"/>
          <w:b/>
          <w:bCs/>
          <w:i w:val="false"/>
          <w:iCs w:val="false"/>
          <w:caps w:val="false"/>
          <w:sz w:val="22"/>
          <w:szCs w:val="22"/>
        </w:rPr>
        <w:t xml:space="preserve">6.1  Ultimate Consignee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Signature of Authorized Official</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Printed Name</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Title</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Date (DD-MMM-YYYY)</w:t>
            </w:r>
          </w:p>
        </w:tc>
        <w:tc>
          <w:tcPr>
            <w:tcW w:type="dxa" w:w="360"/>
            <w:tcBorders>
              <w:top w:val="none" w:color="FFFFFF" w:sz="0"/>
              <w:left w:val="none" w:color="FFFFFF" w:sz="0"/>
              <w:bottom w:val="none" w:color="FFFFFF" w:sz="0"/>
              <w:right w:val="none" w:color="FFFFFF" w:sz="0"/>
            </w:tcBorders>
          </w:tcPr>
          <w:p>
            <w:pPr>
              <w:spacing w:after="200"/>
            </w:pPr>
          </w:p>
        </w:tc>
        <w:tc>
          <w:tcPr>
            <w:tcW w:type="dxa" w:w="444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140"/>
              <w:jc w:val="left"/>
            </w:pPr>
            <w:r>
              <w:rPr>
                <w:rFonts w:ascii="Times New Roman" w:cs="Times New Roman" w:eastAsia="Times New Roman" w:hAnsi="Times New Roman"/>
                <w:b/>
                <w:bCs/>
                <w:i w:val="false"/>
                <w:iCs w:val="false"/>
                <w:caps w:val="false"/>
                <w:sz w:val="22"/>
                <w:szCs w:val="22"/>
              </w:rPr>
              <w:t xml:space="preserve">Official Seal / Stamp</w:t>
            </w:r>
          </w:p>
          <w:p>
            <w:pPr>
              <w:spacing w:after="1000"/>
            </w:pPr>
          </w:p>
          <w:p>
            <w:pPr>
              <w:spacing w:after="140"/>
              <w:jc w:val="left"/>
            </w:pPr>
            <w:r>
              <w:rPr>
                <w:rFonts w:ascii="Times New Roman" w:cs="Times New Roman" w:eastAsia="Times New Roman" w:hAnsi="Times New Roman"/>
                <w:b w:val="false"/>
                <w:bCs w:val="false"/>
                <w:i/>
                <w:iCs/>
                <w:caps w:val="false"/>
                <w:sz w:val="18"/>
                <w:szCs w:val="18"/>
              </w:rPr>
              <w:t xml:space="preserve">Affix company seal or notary stamp here if required by local law.</w:t>
            </w:r>
          </w:p>
        </w:tc>
      </w:tr>
    </w:tbl>
    <w:p>
      <w:pPr>
        <w:spacing w:after="240"/>
      </w:pPr>
    </w:p>
    <w:p>
      <w:pPr>
        <w:spacing w:after="120"/>
        <w:jc w:val="left"/>
      </w:pPr>
      <w:r>
        <w:rPr>
          <w:rFonts w:ascii="Times New Roman" w:cs="Times New Roman" w:eastAsia="Times New Roman" w:hAnsi="Times New Roman"/>
          <w:b/>
          <w:bCs/>
          <w:i w:val="false"/>
          <w:iCs w:val="false"/>
          <w:caps w:val="false"/>
          <w:sz w:val="22"/>
          <w:szCs w:val="22"/>
        </w:rPr>
        <w:t xml:space="preserve">6.2  Purchaser (complete only if different from Ultimate Consignee in Section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Company Name: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Address:</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Signature of Authorized Official</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Printed Name</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Title</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Date (DD-MMM-YYYY)</w:t>
            </w:r>
          </w:p>
        </w:tc>
        <w:tc>
          <w:tcPr>
            <w:tcW w:type="dxa" w:w="360"/>
            <w:tcBorders>
              <w:top w:val="none" w:color="FFFFFF" w:sz="0"/>
              <w:left w:val="none" w:color="FFFFFF" w:sz="0"/>
              <w:bottom w:val="none" w:color="FFFFFF" w:sz="0"/>
              <w:right w:val="none" w:color="FFFFFF" w:sz="0"/>
            </w:tcBorders>
          </w:tcPr>
          <w:p>
            <w:pPr>
              <w:spacing w:after="200"/>
            </w:pPr>
          </w:p>
        </w:tc>
        <w:tc>
          <w:tcPr>
            <w:tcW w:type="dxa" w:w="444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Company Name of Purchaser</w:t>
            </w:r>
          </w:p>
          <w:p>
            <w:pPr>
              <w:spacing w:after="160"/>
            </w:pPr>
          </w:p>
          <w:p>
            <w:pPr>
              <w:pBdr>
                <w:bottom w:val="single" w:color="000000" w:sz="6" w:space="1"/>
              </w:pBdr>
              <w:spacing w:after="60"/>
            </w:pPr>
          </w:p>
          <w:p>
            <w:pPr>
              <w:spacing w:after="140"/>
              <w:jc w:val="left"/>
            </w:pPr>
            <w:r>
              <w:rPr>
                <w:rFonts w:ascii="Times New Roman" w:cs="Times New Roman" w:eastAsia="Times New Roman" w:hAnsi="Times New Roman"/>
                <w:b w:val="false"/>
                <w:bCs w:val="false"/>
                <w:i w:val="false"/>
                <w:iCs w:val="false"/>
                <w:caps w:val="false"/>
                <w:sz w:val="22"/>
                <w:szCs w:val="22"/>
              </w:rPr>
              <w:t xml:space="preserve">Telephone / Email</w:t>
            </w:r>
          </w:p>
        </w:tc>
      </w:tr>
    </w:tbl>
    <w:p>
      <w:pPr>
        <w:spacing w:after="240"/>
      </w:pPr>
    </w:p>
    <w:p>
      <w:pPr>
        <w:spacing w:after="120" w:before="280"/>
      </w:pPr>
      <w:r>
        <w:rPr>
          <w:rFonts w:ascii="Times New Roman" w:cs="Times New Roman" w:eastAsia="Times New Roman" w:hAnsi="Times New Roman"/>
          <w:b/>
          <w:bCs/>
          <w:i w:val="false"/>
          <w:iCs w:val="false"/>
          <w:caps w:val="false"/>
          <w:sz w:val="22"/>
          <w:szCs w:val="22"/>
        </w:rPr>
        <w:t xml:space="preserve">7.  U.S. EXPORTER</w:t>
      </w:r>
    </w:p>
    <w:p>
      <w:pPr>
        <w:spacing w:after="140"/>
        <w:jc w:val="left"/>
      </w:pPr>
      <w:r>
        <w:rPr>
          <w:rFonts w:ascii="Times New Roman" w:cs="Times New Roman" w:eastAsia="Times New Roman" w:hAnsi="Times New Roman"/>
          <w:b w:val="false"/>
          <w:bCs w:val="false"/>
          <w:i w:val="false"/>
          <w:iCs w:val="false"/>
          <w:caps w:val="false"/>
          <w:sz w:val="22"/>
          <w:szCs w:val="22"/>
        </w:rPr>
        <w:t xml:space="preserve">For reference and exporter-side file maintenance only.  This section is completed by the U.S. Exporter before distributing the blank form.</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Company Name: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Address:</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Compliance Contact:</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Email / Telephone: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Internal Ref. / File No.:</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Date Form Issued:</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Date Executed Form Received:</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r>
        <w:tc>
          <w:tcPr>
            <w:tcW w:type="dxa" w:w="2400"/>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caps w:val="false"/>
                <w:sz w:val="22"/>
                <w:szCs w:val="22"/>
              </w:rPr>
              <w:t xml:space="preserve">Renewal Due Date:</w:t>
            </w:r>
          </w:p>
        </w:tc>
        <w:tc>
          <w:tcPr>
            <w:tcW w:type="dxa" w:w="6960"/>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caps w:val="false"/>
                <w:sz w:val="22"/>
                <w:szCs w:val="22"/>
              </w:rPr>
              <w:t xml:space="preserve"/>
            </w:r>
          </w:p>
        </w:tc>
      </w:tr>
    </w:tbl>
    <w:p>
      <w:pPr>
        <w:spacing w:after="240"/>
      </w:pPr>
    </w:p>
    <w:p>
      <w:pPr>
        <w:pBdr>
          <w:bottom w:val="single" w:color="000000" w:sz="6" w:space="1"/>
        </w:pBdr>
        <w:spacing w:after="60"/>
      </w:pPr>
    </w:p>
    <w:p>
      <w:pPr>
        <w:spacing w:after="0" w:before="120"/>
        <w:jc w:val="center"/>
      </w:pPr>
      <w:r>
        <w:rPr>
          <w:rFonts w:ascii="Times New Roman" w:cs="Times New Roman" w:eastAsia="Times New Roman" w:hAnsi="Times New Roman"/>
          <w:b w:val="false"/>
          <w:bCs w:val="false"/>
          <w:i/>
          <w:iCs/>
          <w:caps w:val="false"/>
          <w:sz w:val="18"/>
          <w:szCs w:val="18"/>
        </w:rPr>
        <w:t xml:space="preserve">ECP-EUS-001  |  Rev. 2.0  |  [INSERT COMPANY NAME]  |  Export Compliance Program</w:t>
      </w:r>
    </w:p>
    <w:p>
      <w:pPr>
        <w:spacing w:after="0" w:before="60"/>
        <w:jc w:val="center"/>
      </w:pPr>
      <w:r>
        <w:rPr>
          <w:rFonts w:ascii="Times New Roman" w:cs="Times New Roman" w:eastAsia="Times New Roman" w:hAnsi="Times New Roman"/>
          <w:b w:val="false"/>
          <w:bCs w:val="false"/>
          <w:i/>
          <w:iCs/>
          <w:caps w:val="false"/>
          <w:sz w:val="16"/>
          <w:szCs w:val="16"/>
        </w:rPr>
        <w:t xml:space="preserve">This document is subject to U.S. export control laws.  Handle in accordance with company information security and recordkeeping policies.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9999" w:sz="4" w:space="1"/>
      </w:pBdr>
      <w:tabs>
        <w:tab w:val="center" w:pos="4680"/>
        <w:tab w:val="right" w:pos="9360"/>
      </w:tabs>
      <w:spacing w:before="80"/>
    </w:pPr>
    <w:r>
      <w:rPr>
        <w:rFonts w:ascii="Times New Roman" w:cs="Times New Roman" w:eastAsia="Times New Roman" w:hAnsi="Times New Roman"/>
        <w:b w:val="false"/>
        <w:bCs w:val="false"/>
        <w:i/>
        <w:iCs/>
        <w:caps w:val="false"/>
        <w:sz w:val="16"/>
        <w:szCs w:val="16"/>
      </w:rPr>
      <w:t xml:space="preserve">CONTROLLED DOCUMENT — Export Compliance Use Only</w:t>
    </w:r>
    <w:r>
      <w:rPr>
        <w:rFonts w:ascii="Times New Roman" w:cs="Times New Roman" w:eastAsia="Times New Roman" w:hAnsi="Times New Roman"/>
        <w:b w:val="false"/>
        <w:bCs w:val="false"/>
        <w:i w:val="false"/>
        <w:iCs w:val="false"/>
        <w:caps w:val="false"/>
        <w:sz w:val="16"/>
        <w:szCs w:val="16"/>
      </w:rPr>
      <w:t xml:space="preserve">	</w:t>
    </w:r>
    <w:r>
      <w:rPr>
        <w:rFonts w:ascii="Times New Roman" w:cs="Times New Roman" w:eastAsia="Times New Roman" w:hAnsi="Times New Roman"/>
        <w:b w:val="false"/>
        <w:bCs w:val="false"/>
        <w:i w:val="false"/>
        <w:iCs w:val="false"/>
        <w:caps w:val="false"/>
        <w:sz w:val="16"/>
        <w:szCs w:val="16"/>
      </w:rPr>
      <w:t xml:space="preserve">Page </w:t>
    </w: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caps w:val="false"/>
        <w:sz w:val="16"/>
        <w:szCs w:val="16"/>
      </w:rPr>
      <w:t xml:space="preserve">	</w:t>
    </w:r>
    <w:r>
      <w:rPr>
        <w:rFonts w:ascii="Times New Roman" w:cs="Times New Roman" w:eastAsia="Times New Roman" w:hAnsi="Times New Roman"/>
        <w:b w:val="false"/>
        <w:bCs w:val="false"/>
        <w:i w:val="false"/>
        <w:iCs w:val="false"/>
        <w:caps w:val="false"/>
        <w:sz w:val="16"/>
        <w:szCs w:val="16"/>
      </w:rPr>
      <w:t xml:space="preserve">Rev. 2.0  |  [INSERT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1"/>
      </w:pBdr>
      <w:tabs>
        <w:tab w:val="right" w:pos="9360"/>
      </w:tabs>
      <w:spacing w:after="120"/>
    </w:pPr>
    <w:r>
      <w:rPr>
        <w:rFonts w:ascii="Times New Roman" w:cs="Times New Roman" w:eastAsia="Times New Roman" w:hAnsi="Times New Roman"/>
        <w:b/>
        <w:bCs/>
        <w:i w:val="false"/>
        <w:iCs w:val="false"/>
        <w:caps w:val="false"/>
        <w:sz w:val="18"/>
        <w:szCs w:val="18"/>
      </w:rPr>
      <w:t xml:space="preserve">BLANKET END-USER STATEMENT</w:t>
    </w:r>
    <w:r>
      <w:rPr>
        <w:rFonts w:ascii="Times New Roman" w:cs="Times New Roman" w:eastAsia="Times New Roman" w:hAnsi="Times New Roman"/>
        <w:b w:val="false"/>
        <w:bCs w:val="false"/>
        <w:i w:val="false"/>
        <w:iCs w:val="false"/>
        <w:caps w:val="false"/>
        <w:sz w:val="18"/>
        <w:szCs w:val="18"/>
      </w:rPr>
      <w:t xml:space="preserve">	</w:t>
    </w:r>
    <w:r>
      <w:rPr>
        <w:rFonts w:ascii="Times New Roman" w:cs="Times New Roman" w:eastAsia="Times New Roman" w:hAnsi="Times New Roman"/>
        <w:b w:val="false"/>
        <w:bCs w:val="false"/>
        <w:i/>
        <w:iCs/>
        <w:caps w:val="false"/>
        <w:sz w:val="18"/>
        <w:szCs w:val="18"/>
      </w:rPr>
      <w:t xml:space="preserve">ECP-EUS-001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2026-05-11T21:27:59.657Z</dcterms:created>
  <dcterms:modified xsi:type="dcterms:W3CDTF">2026-05-11T21:27:59.672Z</dcterms:modified>
</cp:coreProperties>
</file>

<file path=docProps/custom.xml><?xml version="1.0" encoding="utf-8"?>
<Properties xmlns="http://schemas.openxmlformats.org/officeDocument/2006/custom-properties" xmlns:vt="http://schemas.openxmlformats.org/officeDocument/2006/docPropsVTypes"/>
</file>