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32"/>
          <w:szCs w:val="32"/>
        </w:rPr>
        <w:t xml:space="preserve">RED FLAG CHECKLIST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4"/>
          <w:szCs w:val="24"/>
        </w:rPr>
        <w:t xml:space="preserve">Export Transaction Screening — Pre-Shipment Review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15 CFR Part 732, Supp. No. 3 (EAR)  |  22 CFR Parts 120–130 (ITAR)  |  31 CFR Parts 500–598 (OFAC)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9"/>
          <w:szCs w:val="19"/>
        </w:rPr>
        <w:t xml:space="preserve">BIS Know Your Customer Guidance  |  Nunn-Wolfowitz Best Practices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560"/>
        <w:gridCol w:w="2400"/>
      </w:tblGrid>
      <w:tr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Transaction / Order No.:</w:t>
            </w:r>
          </w:p>
        </w:tc>
        <w:tc>
          <w:tcPr>
            <w:tcW w:type="dxa" w:w="4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Review Date:</w:t>
            </w:r>
          </w:p>
        </w:tc>
      </w:tr>
      <w:tr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Customer / End-User:</w:t>
            </w:r>
          </w:p>
        </w:tc>
        <w:tc>
          <w:tcPr>
            <w:tcW w:type="dxa" w:w="4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Reviewed By:</w:t>
            </w:r>
          </w:p>
        </w:tc>
      </w:tr>
      <w:tr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Country of Destination:</w:t>
            </w:r>
          </w:p>
        </w:tc>
        <w:tc>
          <w:tcPr>
            <w:tcW w:type="dxa" w:w="4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License / Auth. No.:</w:t>
            </w:r>
          </w:p>
        </w:tc>
      </w:tr>
      <w:tr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Item(s) / ECCN / USML:</w:t>
            </w:r>
          </w:p>
        </w:tc>
        <w:tc>
          <w:tcPr>
            <w:tcW w:type="dxa" w:w="4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EAR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0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  ITAR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0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  OFAC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0"/>
                  </w:rPr>
                  <w:t>☐</w:t>
                </w:r>
              </w:sdtContent>
            </w:sdt>
          </w:p>
        </w:tc>
      </w:tr>
    </w:tbl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INSTRUCTIONS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Review each indicator below against available transaction documentation (order, invoice, shipping instructions, end-user statement, etc.).  Mark Present, Absent, or N/A for each item.  Any indicator marked PRESENT requires escalation to the Export Compliance Officer before the transaction proceeds.  This checklist must be retained in the transaction file for a minimum of five (5) years.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Regulatory basis: 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0"/>
                <w:szCs w:val="20"/>
              </w:rPr>
              <w:t xml:space="preserve">BIS red flag guidance is found at 15 CFR Part 732, Supplement No. 3 and the BIS Know Your Customer guidance document.  ITAR due-diligence obligations arise under 22 CFR §§ 120.17, 127.1.  OFAC obligations under 31 CFR Part 501 and applicable sanctions program regulations.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A — CUSTOMER / END-USER RED FLAGS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5040"/>
        <w:gridCol w:w="3960"/>
      </w:tblGrid>
      <w:tr>
        <w:tc>
          <w:tcPr>
            <w:tcW w:type="dxa" w:w="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Absent</w:t>
            </w:r>
          </w:p>
        </w:tc>
        <w:tc>
          <w:tcPr>
            <w:tcW w:type="dxa" w:w="50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Red Flag Indicator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Observations</w:t>
            </w: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or end-user is reluctant to provide complete information about the intended end-use, end-user, or ultimate destination of the items.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Ref: BIS Supp. 3 to Part 732; 22 CFR § 120.17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is unwilling to provide an end-user certificate, end-use statement, or other supporting documentation as a condition of sale.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Escalate if customer refuses standard documentation requirements.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is new to the company, has no established business history, and cannot be verified through independent sources.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Customer's stated business or facility is inconsistent with the item(s) ordered (e.g., a small trading company ordering large quantities of specialized dual-use equipment).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Ref: BIS Know Your Customer Guidance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Customer, consignee, or any party to the transaction appears on a U.S. Government restricted party list (SDN, EL, DPL, CONS, UVL, MEU, FSE, or other applicable list).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Mandatory hold — do not proceed until cleared.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is located in, or the items are destined for, a country subject to comprehensive U.S. sanctions (Cuba, Iran, North Korea, Syria, Russia/Belarus under current orders) or an ITAR-embargoed country (22 CFR § 126.1).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Mandatory license or OFAC authorization review.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Customer's address, telephone number, or contact information cannot be verified, or matches known addresses of freight forwarders in transshipment-risk countries.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or its principals have a known record of export violations or debarment from U.S. export privileges.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requests that the shipper not include a packing list, marks items as something other than their true description, or otherwise requests falsification of export documents.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Potential EAR § 764.2(g) / ITAR § 127.2 violation — stop transaction.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is a foreign government end-user, military entity, intelligence agency, or state-owned enterprise in a country of concern.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Additional due diligence required; potential license requirement under EAR §§ 744.9, 744.17; ITAR § 126.1.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B — TRANSACTION AND ORDER RED FLAGS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5040"/>
        <w:gridCol w:w="3960"/>
      </w:tblGrid>
      <w:tr>
        <w:tc>
          <w:tcPr>
            <w:tcW w:type="dxa" w:w="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Absent</w:t>
            </w:r>
          </w:p>
        </w:tc>
        <w:tc>
          <w:tcPr>
            <w:tcW w:type="dxa" w:w="50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Red Flag Indicator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Observations</w:t>
            </w: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The quantity ordered is unusually large relative to the customer's known business operations, or significantly exceeds normal commercial requirements.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Over-ordering may indicate stockpiling for re-export or diversion.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requests delivery to a third-country address or freight forwarder rather than to its own facilities, with no clear commercial rationale.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High transshipment risk — requires additional documentation.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shows little or no interest in operator training, after-sale service, maintenance manuals, or standard warranty terms for complex equipment.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Ref: BIS Supp. 3 — purchaser unfamiliar with product's use.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requests unusual payment terms, insists on payment in cash, or proposes routing payment through an unrelated third party or high-risk jurisdiction.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Potential OFAC / money-laundering concern; coordinate with Finance/Legal.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Transaction involves a country or routing that has no clear commercial rationale given the customer's location and stated business.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Indirect transshipment risk to embargoed or controlled destination.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has made inquiries about the same or similar items from multiple U.S. suppliers simultaneously, suggesting a coordinated acquisition effort.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Order is placed using a post office box, mail-drop address, or anonymized digital contact; customer declines to provide a physical business address.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Cannot be verified against restricted party lists without physical address.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requests expedited or unusual shipping arrangements inconsistent with the size, weight, or nature of the items.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May indicate urgency to ship before controls are applied.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Customer's purchase order, invoice, or documentation contains material inconsistencies, alterations, or appears to have been falsified.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Transaction involves items that match known procurement patterns associated with weapons of mass destruction (WMD) or missile programs (see BIS Entity List entries).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Mandatory escalation regardless of item classification.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C — PRODUCT / ITEM RED FLAGS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5040"/>
        <w:gridCol w:w="3960"/>
      </w:tblGrid>
      <w:tr>
        <w:tc>
          <w:tcPr>
            <w:tcW w:type="dxa" w:w="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Absent</w:t>
            </w:r>
          </w:p>
        </w:tc>
        <w:tc>
          <w:tcPr>
            <w:tcW w:type="dxa" w:w="50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Red Flag Indicator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Observations</w:t>
            </w: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Item has a known military or proliferation application in addition to its commercial use, and the customer has not satisfactorily explained why the commercial version is required.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Dual-use items require heightened scrutiny under EAR Part 744 / ITAR Part 121.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Item is classified EAR99 or below controlled threshold, but the transaction otherwise presents red flags (country, party, end-use) that may trigger a license requirement under General Prohibitions 4–10.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EAR99 does not mean no controls apply — screening is always required.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Item is controlled for national security (NS), nuclear (NP), missile technology (MT), or chemical/biological (CB) reasons, and the end-user is in a country with WMD or missile proliferation concerns.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Enhanced end-use check (EUC) or BIS pre-license check may be required.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Item is on the USML (22 CFR Part 121) or includes ITAR-controlled technical data, and the transaction has not been screened for ITAR jurisdiction.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ITAR jurisdiction determination required before EAR review.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Item was previously denied an export license by BIS, DDTC, or OFAC, or the transaction is substantially similar to a previously denied transaction.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Prior denial is a significant red flag — independent legal review recommended.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Item is a precursor chemical, pathogen, toxin, or biological agent subject to Australia Group, Wassenaar, MTCR, or NSG controls.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Multilateral export control regime compliance required.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Requested item specifications exceed civilian needs (e.g., radiation hardening, mil-spec environmental ratings, encrypted communications) with no clear civilian justification.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D — LOGISTICS AND SHIPPING RED FLAGS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5040"/>
        <w:gridCol w:w="3960"/>
      </w:tblGrid>
      <w:tr>
        <w:tc>
          <w:tcPr>
            <w:tcW w:type="dxa" w:w="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Absent</w:t>
            </w:r>
          </w:p>
        </w:tc>
        <w:tc>
          <w:tcPr>
            <w:tcW w:type="dxa" w:w="50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Red Flag Indicator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Observations</w:t>
            </w: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Proposed shipping route passes through or terminates in a country with a known transshipment risk to an embargoed or controlled destination (e.g., UAE, Turkey, Hong Kong for Russia/Iran).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Includes indirect exports — 15 CFR § 734.13; ITAR § 120.50.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Freight forwarder, customs broker, or carrier has not been vetted against restricted party lists, or is unfamiliar with U.S. export control requirements.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Third-party liability exposure under EAR § 758.3.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Shipper or freight forwarder requests that export documentation (SED/EEI, commercial invoice) describe the items differently from their true technical description.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Misrepresentation in export documents is a criminal offense.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Shipping destination or intermediate consignee changes after the order is accepted, with no satisfactory explanation.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Post-order destination change is a significant diversion indicator.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Items require a Destination Control Statement (DCS) under 15 CFR § 758.6 and the required statement has not been included in the invoice and bill of lading.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Electronic Export Information (EEI) has not been filed or is overdue, or the filing exemption claimed does not apply to this transaction.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Census Bureau / AES compliance — 15 CFR Part 30.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DE8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E — ITAR-SPECIFIC RED FLAGS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5040"/>
        <w:gridCol w:w="3960"/>
      </w:tblGrid>
      <w:tr>
        <w:tc>
          <w:tcPr>
            <w:tcW w:type="dxa" w:w="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Absent</w:t>
            </w:r>
          </w:p>
        </w:tc>
        <w:tc>
          <w:tcPr>
            <w:tcW w:type="dxa" w:w="50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Red Flag Indicator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Observations</w:t>
            </w: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Transaction involves ITAR-controlled technical data, and access by a foreign national has not been reviewed for deemed export requirements under 22 CFR § 120.17.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Deemed export to a foreign national = export to their home country.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TAA or MLA authorization covers the transaction, but the foreign party has not been screened against the ITAR proscribed countries list (22 CFR § 126.1) and the Prohibited Persons list.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ITAR agreement compliance — review all sublicensees and sub-tier vendors.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Transaction involves Significant Military Equipment (SME, 22 CFR § 120.36) and the Part 130 reporting obligation has not been identified or addressed.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Required for SME licenses valued above threshold — 22 CFR Part 130.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Foreign party has access to ITAR-controlled manufacturing know-how, software source code, or design data under a TAA without a Technology Control Plan (TCP) in place.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TCP required for all ITAR manufacturing agreements.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ITAR registration has lapsed or the Empowered Official (EO) has changed without DDTC notification.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22 CFR § 122.4 — registration must be current prior to export.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Transaction involves brokering activities (arranging ITAR-controlled transactions between third parties) without confirming whether ITAR brokering registration and licensing is required.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22 CFR Part 129 — brokering is broadly defined and often overlooked.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E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F — OFAC-SPECIFIC RED FLAGS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5040"/>
        <w:gridCol w:w="3960"/>
      </w:tblGrid>
      <w:tr>
        <w:tc>
          <w:tcPr>
            <w:tcW w:type="dxa" w:w="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Absent</w:t>
            </w:r>
          </w:p>
        </w:tc>
        <w:tc>
          <w:tcPr>
            <w:tcW w:type="dxa" w:w="50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Red Flag Indicator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Observations</w:t>
            </w: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Any party to the transaction (customer, end-user, bank, freight forwarder, or beneficial owner) is a Specially Designated National (SDN) or appears on an OFAC-administered sanctions list.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Strict liability — no knowledge requirement.  Mandatory block or reject.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Transaction involves a country subject to comprehensive OFAC sanctions where no OFAC general or specific license applies (Cuba, Iran, North Korea, Syria, Crimea/Donetsk/Luhansk).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Review current OFAC general licenses before proceeding.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Payment will be processed through a non-U.S. bank in a jurisdiction with known OFAC compliance gaps, or payment instructions have changed at the last minute.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Coordinate with Finance to verify banking chain.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Customer appears to be acting as a front company or intermediary for a sanctioned person or entity (e.g., beneficial ownership obscured, unusual corporate structure).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OFAC 50% rule — entities 50%+ owned by an SDN are themselves blocked.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  <w:tr>
        <w:tc>
          <w:tcPr>
            <w:tcW w:type="dxa" w:w="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0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Transaction involves digital currency, crypto assets, or other non-traditional payment methods where OFAC screening of the counterparty is unclear.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OFAC Virtual Currency Guidance (Oct. 2021) applies.</w:t>
            </w:r>
          </w:p>
        </w:tc>
        <w:tc>
          <w:tcPr>
            <w:tcW w:type="dxa" w:w="3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200"/>
            </w:pP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EDE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G — DISPOSITION AND REVIEWER SIGN-OFF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OVERALL DISPOSITION — Check one:</w:t>
            </w:r>
          </w:p>
          <w:p>
            <w:pPr>
              <w:spacing w:after="6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CLEAR — No red flags identified.  Transaction may proceed subject to standard export compliance controls.</w:t>
            </w:r>
          </w:p>
          <w:p>
            <w:pPr>
              <w:spacing w:after="6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HOLD — One or more red flags identified.  Transaction is on hold pending escalation to Export Compliance Officer.  Do NOT ship.</w:t>
            </w:r>
          </w:p>
          <w:p>
            <w:pPr>
              <w:spacing w:after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REJECTED — Transaction rejected based on compliance review.  Document reason below and notify relevant parties.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Reason for Hold / Rejection (if applicable):</w:t>
            </w:r>
          </w:p>
        </w:tc>
      </w:tr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</w:p>
        </w:tc>
      </w:tr>
      <w:tr>
        <w:tc>
          <w:tcPr>
            <w:tcW w:type="dxa" w:w="9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Escalation Action Taken / Next Steps:</w:t>
            </w:r>
          </w:p>
        </w:tc>
      </w:tr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</w:p>
        </w:tc>
      </w:tr>
    </w:tbl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360"/>
        <w:gridCol w:w="4440"/>
      </w:tblGrid>
      <w:tr>
        <w:tc>
          <w:tcPr>
            <w:tcW w:type="dxa" w:w="45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PRIMARY REVIEWER</w:t>
            </w:r>
          </w:p>
          <w:p>
            <w:pPr>
              <w:spacing w:after="36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Signature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Printed Name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Title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Date (DD-MMM-YYYY)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60"/>
            </w:pPr>
          </w:p>
        </w:tc>
        <w:tc>
          <w:tcPr>
            <w:tcW w:type="dxa" w:w="444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EXPORT COMPLIANCE OFFICER (if escalated)</w:t>
            </w:r>
          </w:p>
          <w:p>
            <w:pPr>
              <w:spacing w:after="36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Signature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Printed Name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Title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Date (DD-MMM-YYYY)</w:t>
            </w:r>
          </w:p>
        </w:tc>
      </w:tr>
    </w:tbl>
    <w:p>
      <w:pPr>
        <w:spacing w:after="240"/>
      </w:pPr>
    </w:p>
    <w:p>
      <w:pPr>
        <w:pBdr>
          <w:bottom w:val="single" w:color="999999" w:sz="4"/>
        </w:pBdr>
      </w:pPr>
    </w:p>
    <w:p>
      <w:pPr>
        <w:spacing w:after="0" w:before="1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11-Red Flag Checklist  |  Rev. 1.0  |  [INSERT COMPANY NAME]  |  Export Compliance Program</w:t>
      </w:r>
    </w:p>
    <w:p>
      <w:pPr>
        <w:spacing w:after="0" w:before="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6"/>
          <w:szCs w:val="16"/>
        </w:rPr>
        <w:t xml:space="preserve">Retain in transaction file for minimum 5 years from date of export.  Basis: 15 CFR § 762.2; 22 CFR § 122.5; 31 CFR § 501.601.</w:t>
      </w:r>
    </w:p>
    <w:sectPr>
      <w:headerReference w:type="default" r:id="rId7"/>
      <w:footerReference w:type="default" r:id="rId8"/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999999" w:sz="4" w:space="1"/>
      </w:pBdr>
      <w:tabs>
        <w:tab w:val="center" w:pos="5112"/>
        <w:tab w:val="right" w:pos="10224"/>
      </w:tabs>
      <w:spacing w:before="80"/>
    </w:pPr>
    <w:r>
      <w:rPr>
        <w:rFonts w:ascii="Times New Roman" w:cs="Times New Roman" w:eastAsia="Times New Roman" w:hAnsi="Times New Roman"/>
        <w:b w:val="false"/>
        <w:bCs w:val="false"/>
        <w:i/>
        <w:iCs/>
        <w:sz w:val="16"/>
        <w:szCs w:val="16"/>
      </w:rPr>
      <w:t xml:space="preserve">CONTROLLED — Export Compliance Use Only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Page </w:t>
    </w:r>
    <w:r>
      <w:rPr>
        <w:rFonts w:ascii="Times New Roman" w:cs="Times New Roman" w:eastAsia="Times New Roman" w:hAnsi="Times New Roman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[INSERT COMPANY NAME]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999999" w:sz="4" w:space="1"/>
      </w:pBdr>
      <w:tabs>
        <w:tab w:val="right" w:pos="10224"/>
      </w:tabs>
      <w:spacing w:after="100"/>
    </w:pPr>
    <w:r>
      <w:rPr>
        <w:rFonts w:ascii="Times New Roman" w:cs="Times New Roman" w:eastAsia="Times New Roman" w:hAnsi="Times New Roman"/>
        <w:b/>
        <w:bCs/>
        <w:i w:val="false"/>
        <w:iCs w:val="false"/>
        <w:sz w:val="18"/>
        <w:szCs w:val="18"/>
      </w:rPr>
      <w:t xml:space="preserve">RED FLAG CHECKLIST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8"/>
        <w:szCs w:val="18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11-Red Flag Checklist  |  Rev.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2026-05-11T22:02:11.909Z</dcterms:created>
  <dcterms:modified xsi:type="dcterms:W3CDTF">2026-05-11T22:02:11.909Z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