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C593" w14:textId="3C336338" w:rsidR="007B7835" w:rsidRDefault="00000000">
      <w:pPr>
        <w:spacing w:after="80"/>
        <w:jc w:val="center"/>
      </w:pPr>
      <w:r>
        <w:rPr>
          <w:rFonts w:eastAsia="Times New Roman"/>
          <w:b/>
          <w:bCs/>
          <w:sz w:val="32"/>
          <w:szCs w:val="32"/>
        </w:rPr>
        <w:t>LICENSE ADMINISTRATION PLAN</w:t>
      </w:r>
    </w:p>
    <w:p w14:paraId="0FCB48CF" w14:textId="77777777" w:rsidR="007B7835" w:rsidRDefault="00000000">
      <w:pPr>
        <w:spacing w:after="60"/>
        <w:jc w:val="center"/>
      </w:pPr>
      <w:r>
        <w:rPr>
          <w:rFonts w:eastAsia="Times New Roman"/>
          <w:i/>
          <w:iCs/>
          <w:sz w:val="26"/>
          <w:szCs w:val="26"/>
        </w:rPr>
        <w:t>[INSERT COMPANY NAME]</w:t>
      </w:r>
    </w:p>
    <w:p w14:paraId="04B4EDB7" w14:textId="77777777" w:rsidR="007B7835" w:rsidRDefault="00000000">
      <w:pPr>
        <w:spacing w:after="200"/>
        <w:jc w:val="center"/>
      </w:pPr>
      <w:r>
        <w:rPr>
          <w:rFonts w:eastAsia="Times New Roman"/>
        </w:rPr>
        <w:t>15 CFR Parts 730–774 (</w:t>
      </w:r>
      <w:proofErr w:type="gramStart"/>
      <w:r>
        <w:rPr>
          <w:rFonts w:eastAsia="Times New Roman"/>
        </w:rPr>
        <w:t>EAR)  |</w:t>
      </w:r>
      <w:proofErr w:type="gramEnd"/>
      <w:r>
        <w:rPr>
          <w:rFonts w:eastAsia="Times New Roman"/>
        </w:rPr>
        <w:t xml:space="preserve">  22 CFR Parts 120–130 (</w:t>
      </w:r>
      <w:proofErr w:type="gramStart"/>
      <w:r>
        <w:rPr>
          <w:rFonts w:eastAsia="Times New Roman"/>
        </w:rPr>
        <w:t>ITAR)  |</w:t>
      </w:r>
      <w:proofErr w:type="gramEnd"/>
      <w:r>
        <w:rPr>
          <w:rFonts w:eastAsia="Times New Roman"/>
        </w:rPr>
        <w:t xml:space="preserve">  31 CFR Parts 500–598 (OFAC)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080"/>
        <w:gridCol w:w="2800"/>
        <w:gridCol w:w="680"/>
      </w:tblGrid>
      <w:tr w:rsidR="007B7835" w14:paraId="65E67AE2"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C104805" w14:textId="77777777" w:rsidR="007B7835" w:rsidRDefault="00000000">
            <w:r>
              <w:rPr>
                <w:rFonts w:eastAsia="Times New Roman"/>
                <w:b/>
                <w:bCs/>
                <w:sz w:val="22"/>
                <w:szCs w:val="22"/>
              </w:rPr>
              <w:t>Effective Date:</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7A7A6AF" w14:textId="77777777" w:rsidR="007B7835" w:rsidRDefault="007B7835"/>
        </w:tc>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5B24A43" w14:textId="77777777" w:rsidR="007B7835" w:rsidRDefault="00000000">
            <w:r>
              <w:rPr>
                <w:rFonts w:eastAsia="Times New Roman"/>
                <w:b/>
                <w:bCs/>
                <w:sz w:val="22"/>
                <w:szCs w:val="22"/>
              </w:rPr>
              <w:t>Next Review Date:</w:t>
            </w:r>
          </w:p>
        </w:tc>
        <w:tc>
          <w:tcPr>
            <w:tcW w:w="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3D7B924" w14:textId="77777777" w:rsidR="007B7835" w:rsidRDefault="007B7835"/>
        </w:tc>
      </w:tr>
      <w:tr w:rsidR="007B7835" w14:paraId="32B627DD"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6052404" w14:textId="77777777" w:rsidR="007B7835" w:rsidRDefault="00000000">
            <w:r>
              <w:rPr>
                <w:rFonts w:eastAsia="Times New Roman"/>
                <w:b/>
                <w:bCs/>
                <w:sz w:val="22"/>
                <w:szCs w:val="22"/>
              </w:rPr>
              <w:t>Prepared By:</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E438738" w14:textId="77777777" w:rsidR="007B7835" w:rsidRDefault="007B7835"/>
        </w:tc>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FA73A0D" w14:textId="77777777" w:rsidR="007B7835" w:rsidRDefault="00000000">
            <w:r>
              <w:rPr>
                <w:rFonts w:eastAsia="Times New Roman"/>
                <w:b/>
                <w:bCs/>
                <w:sz w:val="22"/>
                <w:szCs w:val="22"/>
              </w:rPr>
              <w:t>Title:</w:t>
            </w:r>
          </w:p>
        </w:tc>
        <w:tc>
          <w:tcPr>
            <w:tcW w:w="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D6ABBDE" w14:textId="77777777" w:rsidR="007B7835" w:rsidRDefault="007B7835"/>
        </w:tc>
      </w:tr>
      <w:tr w:rsidR="007B7835" w14:paraId="7D011429"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12418A3" w14:textId="77777777" w:rsidR="007B7835" w:rsidRDefault="00000000">
            <w:r>
              <w:rPr>
                <w:rFonts w:eastAsia="Times New Roman"/>
                <w:b/>
                <w:bCs/>
                <w:sz w:val="22"/>
                <w:szCs w:val="22"/>
              </w:rPr>
              <w:t>Approved By (EO):</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0D1E667" w14:textId="77777777" w:rsidR="007B7835" w:rsidRDefault="007B7835"/>
        </w:tc>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F80D84D" w14:textId="77777777" w:rsidR="007B7835" w:rsidRDefault="00000000">
            <w:r>
              <w:rPr>
                <w:rFonts w:eastAsia="Times New Roman"/>
                <w:b/>
                <w:bCs/>
                <w:sz w:val="22"/>
                <w:szCs w:val="22"/>
              </w:rPr>
              <w:t>Date Approved:</w:t>
            </w:r>
          </w:p>
        </w:tc>
        <w:tc>
          <w:tcPr>
            <w:tcW w:w="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CF70ED7" w14:textId="77777777" w:rsidR="007B7835" w:rsidRDefault="007B7835"/>
        </w:tc>
      </w:tr>
      <w:tr w:rsidR="007B7835" w14:paraId="66634926"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D6F62BB" w14:textId="77777777" w:rsidR="007B7835" w:rsidRDefault="00000000">
            <w:r>
              <w:rPr>
                <w:rFonts w:eastAsia="Times New Roman"/>
                <w:b/>
                <w:bCs/>
                <w:sz w:val="22"/>
                <w:szCs w:val="22"/>
              </w:rPr>
              <w:t>ITAR Registration No.:</w:t>
            </w:r>
          </w:p>
        </w:tc>
        <w:tc>
          <w:tcPr>
            <w:tcW w:w="30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52B60E6" w14:textId="77777777" w:rsidR="007B7835" w:rsidRDefault="007B7835"/>
        </w:tc>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C311D8B" w14:textId="77777777" w:rsidR="007B7835" w:rsidRDefault="00000000">
            <w:r>
              <w:rPr>
                <w:rFonts w:eastAsia="Times New Roman"/>
                <w:b/>
                <w:bCs/>
                <w:sz w:val="22"/>
                <w:szCs w:val="22"/>
              </w:rPr>
              <w:t>Revision:</w:t>
            </w:r>
          </w:p>
        </w:tc>
        <w:tc>
          <w:tcPr>
            <w:tcW w:w="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34703A2" w14:textId="77777777" w:rsidR="007B7835" w:rsidRDefault="007B7835"/>
        </w:tc>
      </w:tr>
    </w:tbl>
    <w:p w14:paraId="09FA14D8" w14:textId="77777777" w:rsidR="007B7835" w:rsidRDefault="007B7835">
      <w:pPr>
        <w:spacing w:after="160"/>
      </w:pPr>
    </w:p>
    <w:p w14:paraId="59FE545F" w14:textId="77777777" w:rsidR="007B7835" w:rsidRDefault="00000000">
      <w:pPr>
        <w:spacing w:after="80"/>
      </w:pPr>
      <w:r>
        <w:rPr>
          <w:rFonts w:eastAsia="Times New Roman"/>
          <w:b/>
          <w:bCs/>
          <w:sz w:val="22"/>
          <w:szCs w:val="22"/>
        </w:rPr>
        <w:t>REVISION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600"/>
        <w:gridCol w:w="3960"/>
        <w:gridCol w:w="2600"/>
      </w:tblGrid>
      <w:tr w:rsidR="007B7835" w14:paraId="6107C102"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CF7994E" w14:textId="77777777" w:rsidR="007B7835" w:rsidRDefault="00000000">
            <w:pPr>
              <w:jc w:val="center"/>
            </w:pPr>
            <w:r>
              <w:rPr>
                <w:rFonts w:eastAsia="Times New Roman"/>
                <w:b/>
                <w:bCs/>
                <w:sz w:val="22"/>
                <w:szCs w:val="22"/>
              </w:rPr>
              <w:t>Rev.</w:t>
            </w:r>
          </w:p>
        </w:tc>
        <w:tc>
          <w:tcPr>
            <w:tcW w:w="1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1C1022E" w14:textId="77777777" w:rsidR="007B7835" w:rsidRDefault="00000000">
            <w:r>
              <w:rPr>
                <w:rFonts w:eastAsia="Times New Roman"/>
                <w:b/>
                <w:bCs/>
                <w:sz w:val="22"/>
                <w:szCs w:val="22"/>
              </w:rPr>
              <w:t>Date</w:t>
            </w:r>
          </w:p>
        </w:tc>
        <w:tc>
          <w:tcPr>
            <w:tcW w:w="39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47D6512" w14:textId="77777777" w:rsidR="007B7835" w:rsidRDefault="00000000">
            <w:r>
              <w:rPr>
                <w:rFonts w:eastAsia="Times New Roman"/>
                <w:b/>
                <w:bCs/>
                <w:sz w:val="22"/>
                <w:szCs w:val="22"/>
              </w:rPr>
              <w:t>Description</w:t>
            </w:r>
          </w:p>
        </w:tc>
        <w:tc>
          <w:tcPr>
            <w:tcW w:w="2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99B2C85" w14:textId="77777777" w:rsidR="007B7835" w:rsidRDefault="00000000">
            <w:r>
              <w:rPr>
                <w:rFonts w:eastAsia="Times New Roman"/>
                <w:b/>
                <w:bCs/>
                <w:sz w:val="22"/>
                <w:szCs w:val="22"/>
              </w:rPr>
              <w:t>Approved By</w:t>
            </w:r>
          </w:p>
        </w:tc>
      </w:tr>
      <w:tr w:rsidR="007B7835" w14:paraId="01BAC02F"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18449A4" w14:textId="77777777" w:rsidR="007B7835" w:rsidRDefault="00000000">
            <w:pPr>
              <w:jc w:val="center"/>
            </w:pPr>
            <w:r>
              <w:rPr>
                <w:rFonts w:eastAsia="Times New Roman"/>
                <w:sz w:val="22"/>
                <w:szCs w:val="22"/>
              </w:rPr>
              <w:t>1.0</w:t>
            </w:r>
          </w:p>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B09B8DF" w14:textId="77777777" w:rsidR="007B7835" w:rsidRDefault="007B7835"/>
        </w:tc>
        <w:tc>
          <w:tcPr>
            <w:tcW w:w="3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F0627DE" w14:textId="77777777" w:rsidR="007B7835" w:rsidRDefault="00000000">
            <w:r>
              <w:rPr>
                <w:rFonts w:eastAsia="Times New Roman"/>
                <w:sz w:val="22"/>
                <w:szCs w:val="22"/>
              </w:rPr>
              <w:t>Initial issue</w:t>
            </w:r>
          </w:p>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A344152" w14:textId="77777777" w:rsidR="007B7835" w:rsidRDefault="007B7835"/>
        </w:tc>
      </w:tr>
      <w:tr w:rsidR="007B7835" w14:paraId="772FF10D"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46B72EF" w14:textId="77777777" w:rsidR="007B7835" w:rsidRDefault="007B7835"/>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9252CF1" w14:textId="77777777" w:rsidR="007B7835" w:rsidRDefault="007B7835"/>
        </w:tc>
        <w:tc>
          <w:tcPr>
            <w:tcW w:w="3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239FC89" w14:textId="77777777" w:rsidR="007B7835" w:rsidRDefault="007B7835"/>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599C53A" w14:textId="77777777" w:rsidR="007B7835" w:rsidRDefault="007B7835"/>
        </w:tc>
      </w:tr>
      <w:tr w:rsidR="007B7835" w14:paraId="0A6346CB"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53F6C4A" w14:textId="77777777" w:rsidR="007B7835" w:rsidRDefault="007B7835"/>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D29FEB7" w14:textId="77777777" w:rsidR="007B7835" w:rsidRDefault="007B7835"/>
        </w:tc>
        <w:tc>
          <w:tcPr>
            <w:tcW w:w="3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F1D9648" w14:textId="77777777" w:rsidR="007B7835" w:rsidRDefault="007B7835"/>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1B4643" w14:textId="77777777" w:rsidR="007B7835" w:rsidRDefault="007B7835"/>
        </w:tc>
      </w:tr>
      <w:tr w:rsidR="007B7835" w14:paraId="783517CF"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D9F940B" w14:textId="77777777" w:rsidR="007B7835" w:rsidRDefault="007B7835"/>
        </w:tc>
        <w:tc>
          <w:tcPr>
            <w:tcW w:w="1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DFF299D" w14:textId="77777777" w:rsidR="007B7835" w:rsidRDefault="007B7835"/>
        </w:tc>
        <w:tc>
          <w:tcPr>
            <w:tcW w:w="3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0EC27AE" w14:textId="77777777" w:rsidR="007B7835" w:rsidRDefault="007B7835"/>
        </w:tc>
        <w:tc>
          <w:tcPr>
            <w:tcW w:w="2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EBB082A" w14:textId="77777777" w:rsidR="007B7835" w:rsidRDefault="007B7835"/>
        </w:tc>
      </w:tr>
    </w:tbl>
    <w:p w14:paraId="27DF5743" w14:textId="77777777" w:rsidR="007B7835" w:rsidRDefault="007B7835">
      <w:pPr>
        <w:spacing w:after="200"/>
      </w:pPr>
    </w:p>
    <w:p w14:paraId="3E2370F1"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5081210C"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70B0B1F4" w14:textId="77777777" w:rsidR="007B7835" w:rsidRDefault="00000000">
            <w:pPr>
              <w:jc w:val="center"/>
            </w:pPr>
            <w:r>
              <w:rPr>
                <w:rFonts w:eastAsia="Times New Roman"/>
                <w:b/>
                <w:bCs/>
                <w:color w:val="FFFFFF"/>
                <w:sz w:val="22"/>
                <w:szCs w:val="22"/>
              </w:rPr>
              <w:t>§ 1</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45A7C6C4" w14:textId="77777777" w:rsidR="007B7835" w:rsidRDefault="00000000">
            <w:r>
              <w:rPr>
                <w:rFonts w:eastAsia="Times New Roman"/>
                <w:b/>
                <w:bCs/>
                <w:color w:val="FFFFFF"/>
                <w:sz w:val="22"/>
                <w:szCs w:val="22"/>
              </w:rPr>
              <w:t>PURPOSE AND SCOPE</w:t>
            </w:r>
          </w:p>
        </w:tc>
      </w:tr>
    </w:tbl>
    <w:p w14:paraId="04DDAD05" w14:textId="77777777" w:rsidR="007B7835" w:rsidRDefault="007B7835">
      <w:pPr>
        <w:spacing w:after="100"/>
      </w:pPr>
    </w:p>
    <w:p w14:paraId="47433C42" w14:textId="7441047A" w:rsidR="007B7835" w:rsidRDefault="00000000">
      <w:pPr>
        <w:spacing w:after="120"/>
      </w:pPr>
      <w:r>
        <w:rPr>
          <w:rFonts w:eastAsia="Times New Roman"/>
          <w:sz w:val="22"/>
          <w:szCs w:val="22"/>
        </w:rPr>
        <w:t>1.1  This License Administration Plan ("Plan") establishes the procedures and internal controls by which [INSERT COMPANY NAME] ("Company") manages, tracks, and administers export licenses and other authorizations issued under the Export Administration Regulations (EAR, 15 CFR Parts 730–774) administered by the Bureau of Industry and Security (BIS), the International Traffic in Arms Regulations (ITAR, 22 CFR Parts 120–130) administered by the Directorate of Defense Trade Controls (DDTC), and applicable sanctions authorizations administered by the Office of Foreign Assets Control (OFAC).</w:t>
      </w:r>
    </w:p>
    <w:p w14:paraId="796B8697" w14:textId="77777777" w:rsidR="007B7835" w:rsidRDefault="007B7835">
      <w:pPr>
        <w:spacing w:after="80"/>
      </w:pPr>
    </w:p>
    <w:p w14:paraId="2D174E29" w14:textId="77777777" w:rsidR="007B7835" w:rsidRDefault="00000000">
      <w:pPr>
        <w:spacing w:after="120"/>
      </w:pPr>
      <w:proofErr w:type="gramStart"/>
      <w:r>
        <w:rPr>
          <w:rFonts w:eastAsia="Times New Roman"/>
          <w:sz w:val="22"/>
          <w:szCs w:val="22"/>
        </w:rPr>
        <w:t>1.2  This</w:t>
      </w:r>
      <w:proofErr w:type="gramEnd"/>
      <w:r>
        <w:rPr>
          <w:rFonts w:eastAsia="Times New Roman"/>
          <w:sz w:val="22"/>
          <w:szCs w:val="22"/>
        </w:rPr>
        <w:t xml:space="preserve"> Plan applies to all licenses, license exceptions utilized, Technical Assistance Agreements (TAAs), Manufacturing License Agreements (MLAs), and other authorizations obtained by or on behalf of the Company.  It covers the full license lifecycle: application, receipt, review, shipment administration, amendment, expiration, and archiving.</w:t>
      </w:r>
    </w:p>
    <w:p w14:paraId="721E45BF" w14:textId="77777777" w:rsidR="007B7835" w:rsidRDefault="007B7835">
      <w:pPr>
        <w:spacing w:after="80"/>
      </w:pPr>
    </w:p>
    <w:p w14:paraId="0E669BD6" w14:textId="77777777" w:rsidR="007B7835" w:rsidRDefault="00000000">
      <w:pPr>
        <w:spacing w:after="120"/>
      </w:pPr>
      <w:proofErr w:type="gramStart"/>
      <w:r>
        <w:rPr>
          <w:rFonts w:eastAsia="Times New Roman"/>
          <w:sz w:val="22"/>
          <w:szCs w:val="22"/>
        </w:rPr>
        <w:t>1.3  All</w:t>
      </w:r>
      <w:proofErr w:type="gramEnd"/>
      <w:r>
        <w:rPr>
          <w:rFonts w:eastAsia="Times New Roman"/>
          <w:sz w:val="22"/>
          <w:szCs w:val="22"/>
        </w:rPr>
        <w:t xml:space="preserve"> Company personnel involved in export transactions — including sales, logistics, finance, engineering, and export compliance — are subject to the requirements of this Plan.  Questions about this Plan should be directed to the Export Compliance Officer.</w:t>
      </w:r>
    </w:p>
    <w:p w14:paraId="11752681" w14:textId="77777777" w:rsidR="007B7835" w:rsidRDefault="007B7835">
      <w:pPr>
        <w:spacing w:after="200"/>
      </w:pPr>
    </w:p>
    <w:p w14:paraId="5D1CF333" w14:textId="77777777" w:rsidR="004E4BF8" w:rsidRDefault="004E4BF8">
      <w:pPr>
        <w:spacing w:after="200"/>
      </w:pPr>
    </w:p>
    <w:p w14:paraId="491402C3" w14:textId="77777777" w:rsidR="004E4BF8" w:rsidRDefault="004E4BF8">
      <w:pPr>
        <w:spacing w:after="200"/>
      </w:pPr>
    </w:p>
    <w:p w14:paraId="5CC97B31" w14:textId="77777777" w:rsidR="004E4BF8" w:rsidRDefault="004E4BF8">
      <w:pPr>
        <w:spacing w:after="200"/>
      </w:pPr>
    </w:p>
    <w:p w14:paraId="5652DA76"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30599E74"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4393B22A" w14:textId="77777777" w:rsidR="007B7835" w:rsidRDefault="00000000">
            <w:pPr>
              <w:jc w:val="center"/>
            </w:pPr>
            <w:r>
              <w:rPr>
                <w:rFonts w:eastAsia="Times New Roman"/>
                <w:b/>
                <w:bCs/>
                <w:color w:val="FFFFFF"/>
                <w:sz w:val="22"/>
                <w:szCs w:val="22"/>
              </w:rPr>
              <w:lastRenderedPageBreak/>
              <w:t>§ 2</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1426D22C" w14:textId="77777777" w:rsidR="007B7835" w:rsidRDefault="00000000">
            <w:r>
              <w:rPr>
                <w:rFonts w:eastAsia="Times New Roman"/>
                <w:b/>
                <w:bCs/>
                <w:color w:val="FFFFFF"/>
                <w:sz w:val="22"/>
                <w:szCs w:val="22"/>
              </w:rPr>
              <w:t>ROLES AND RESPONSIBILITIES</w:t>
            </w:r>
          </w:p>
        </w:tc>
      </w:tr>
    </w:tbl>
    <w:p w14:paraId="79209204" w14:textId="77777777" w:rsidR="007B7835" w:rsidRDefault="007B7835">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7B7835" w14:paraId="50AF106E"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18EA766" w14:textId="77777777" w:rsidR="007B7835" w:rsidRDefault="00000000">
            <w:r>
              <w:rPr>
                <w:rFonts w:eastAsia="Times New Roman"/>
                <w:b/>
                <w:bCs/>
                <w:sz w:val="22"/>
                <w:szCs w:val="22"/>
              </w:rPr>
              <w:t>Empowered Official (EO)</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B8EF51"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Approves all license applications and amendments before submission to BIS or DDTC.</w:t>
            </w:r>
          </w:p>
          <w:p w14:paraId="39C1A242"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 xml:space="preserve">Reviews and </w:t>
            </w:r>
            <w:proofErr w:type="gramStart"/>
            <w:r>
              <w:rPr>
                <w:rFonts w:eastAsia="Times New Roman"/>
                <w:sz w:val="22"/>
                <w:szCs w:val="22"/>
              </w:rPr>
              <w:t>signs</w:t>
            </w:r>
            <w:proofErr w:type="gramEnd"/>
            <w:r>
              <w:rPr>
                <w:rFonts w:eastAsia="Times New Roman"/>
                <w:sz w:val="22"/>
                <w:szCs w:val="22"/>
              </w:rPr>
              <w:t xml:space="preserve"> all certifications required in license applications.</w:t>
            </w:r>
          </w:p>
          <w:p w14:paraId="547AA1C8"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Has final authority to authorize or deny export transactions.</w:t>
            </w:r>
          </w:p>
          <w:p w14:paraId="7F9D4D65"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Ensures this Plan is reviewed and updated at least annually.</w:t>
            </w:r>
          </w:p>
        </w:tc>
      </w:tr>
      <w:tr w:rsidR="007B7835" w14:paraId="3B37292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71625CC" w14:textId="77777777" w:rsidR="007B7835" w:rsidRDefault="00000000">
            <w:r>
              <w:rPr>
                <w:rFonts w:eastAsia="Times New Roman"/>
                <w:b/>
                <w:bCs/>
                <w:sz w:val="22"/>
                <w:szCs w:val="22"/>
              </w:rPr>
              <w:t>Export Compliance Officer (ECO)</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7B4FB25"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Owns and administers this Plan on a day-to-day basis.</w:t>
            </w:r>
          </w:p>
          <w:p w14:paraId="551393D4"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Maintains the License Register (§ 4) and monitors license utilization, expiration, and balance.</w:t>
            </w:r>
          </w:p>
          <w:p w14:paraId="6B1B209A"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Reviews all incoming licenses for proviso compliance before authorizing shipments.</w:t>
            </w:r>
          </w:p>
          <w:p w14:paraId="0ABEA611"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Coordinates license amendments, renewals, and re-applications.</w:t>
            </w:r>
          </w:p>
          <w:p w14:paraId="4EF57FDD"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Provides training to relevant personnel on license conditions and this Plan.</w:t>
            </w:r>
          </w:p>
        </w:tc>
      </w:tr>
      <w:tr w:rsidR="007B7835" w14:paraId="19C15102"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E31F41D" w14:textId="77777777" w:rsidR="007B7835" w:rsidRDefault="00000000">
            <w:r>
              <w:rPr>
                <w:rFonts w:eastAsia="Times New Roman"/>
                <w:b/>
                <w:bCs/>
                <w:sz w:val="22"/>
                <w:szCs w:val="22"/>
              </w:rPr>
              <w:t>Logistics / Shipping</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D6ED28D"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Confirms ECO clearance before releasing any shipment associated with a license.</w:t>
            </w:r>
          </w:p>
          <w:p w14:paraId="4F905924"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Records shipment data (date, quantity, value, consignee) in the License Tracking Log.</w:t>
            </w:r>
          </w:p>
          <w:p w14:paraId="6FB8A5E6"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Ensures Destination Control Statement citing the license number appears on export documents.</w:t>
            </w:r>
          </w:p>
        </w:tc>
      </w:tr>
      <w:tr w:rsidR="007B7835" w14:paraId="730ED38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84D754C" w14:textId="77777777" w:rsidR="007B7835" w:rsidRDefault="00000000">
            <w:r>
              <w:rPr>
                <w:rFonts w:eastAsia="Times New Roman"/>
                <w:b/>
                <w:bCs/>
                <w:sz w:val="22"/>
                <w:szCs w:val="22"/>
              </w:rPr>
              <w:t>Sales / Contracts</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99A798"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 xml:space="preserve">Notifies ECO of any new transaction that may require a license or involve an existing </w:t>
            </w:r>
            <w:proofErr w:type="gramStart"/>
            <w:r>
              <w:rPr>
                <w:rFonts w:eastAsia="Times New Roman"/>
                <w:sz w:val="22"/>
                <w:szCs w:val="22"/>
              </w:rPr>
              <w:t>licensed</w:t>
            </w:r>
            <w:proofErr w:type="gramEnd"/>
            <w:r>
              <w:rPr>
                <w:rFonts w:eastAsia="Times New Roman"/>
                <w:sz w:val="22"/>
                <w:szCs w:val="22"/>
              </w:rPr>
              <w:t xml:space="preserve"> item.</w:t>
            </w:r>
          </w:p>
          <w:p w14:paraId="27BF5AE5"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Does not commit delivery dates or accept orders for licensed items without ECO confirmation of available license authority.</w:t>
            </w:r>
          </w:p>
        </w:tc>
      </w:tr>
      <w:tr w:rsidR="007B7835" w14:paraId="13E08C4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AD53E01" w14:textId="77777777" w:rsidR="007B7835" w:rsidRDefault="00000000">
            <w:r>
              <w:rPr>
                <w:rFonts w:eastAsia="Times New Roman"/>
                <w:b/>
                <w:bCs/>
                <w:sz w:val="22"/>
                <w:szCs w:val="22"/>
              </w:rPr>
              <w:t>Finance / AR</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1B8781F"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Does not process invoices, payments, or letters of credit for licensed transactions without ECO authorization.</w:t>
            </w:r>
          </w:p>
          <w:p w14:paraId="1CE4E2E1"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 xml:space="preserve">Flags any transaction associated with an active Hold / Stop Order (27-Transaction </w:t>
            </w:r>
            <w:proofErr w:type="spellStart"/>
            <w:r>
              <w:rPr>
                <w:rFonts w:eastAsia="Times New Roman"/>
                <w:sz w:val="22"/>
                <w:szCs w:val="22"/>
              </w:rPr>
              <w:t>Hold_Stop</w:t>
            </w:r>
            <w:proofErr w:type="spellEnd"/>
            <w:r>
              <w:rPr>
                <w:rFonts w:eastAsia="Times New Roman"/>
                <w:sz w:val="22"/>
                <w:szCs w:val="22"/>
              </w:rPr>
              <w:t xml:space="preserve"> Order).</w:t>
            </w:r>
          </w:p>
        </w:tc>
      </w:tr>
    </w:tbl>
    <w:p w14:paraId="2871AB80" w14:textId="77777777" w:rsidR="007B7835" w:rsidRDefault="007B7835">
      <w:pPr>
        <w:spacing w:after="200"/>
      </w:pPr>
    </w:p>
    <w:p w14:paraId="2BCD1A14"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30DC8469"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766E3D2A" w14:textId="77777777" w:rsidR="007B7835" w:rsidRDefault="00000000">
            <w:pPr>
              <w:jc w:val="center"/>
            </w:pPr>
            <w:r>
              <w:rPr>
                <w:rFonts w:eastAsia="Times New Roman"/>
                <w:b/>
                <w:bCs/>
                <w:color w:val="FFFFFF"/>
                <w:sz w:val="22"/>
                <w:szCs w:val="22"/>
              </w:rPr>
              <w:t>§ 3</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7E2D7488" w14:textId="77777777" w:rsidR="007B7835" w:rsidRDefault="00000000">
            <w:r>
              <w:rPr>
                <w:rFonts w:eastAsia="Times New Roman"/>
                <w:b/>
                <w:bCs/>
                <w:color w:val="FFFFFF"/>
                <w:sz w:val="22"/>
                <w:szCs w:val="22"/>
              </w:rPr>
              <w:t>LICENSE APPLICATION AND RECEIPT</w:t>
            </w:r>
          </w:p>
        </w:tc>
      </w:tr>
    </w:tbl>
    <w:p w14:paraId="16D0857E" w14:textId="77777777" w:rsidR="007B7835" w:rsidRDefault="007B7835">
      <w:pPr>
        <w:spacing w:after="100"/>
      </w:pPr>
    </w:p>
    <w:p w14:paraId="589DE1FA" w14:textId="73A8427A" w:rsidR="007B7835" w:rsidRDefault="004E4BF8">
      <w:pPr>
        <w:spacing w:before="180" w:after="80"/>
      </w:pPr>
      <w:r>
        <w:rPr>
          <w:b/>
          <w:bCs/>
          <w:sz w:val="22"/>
          <w:szCs w:val="22"/>
          <w:u w:val="single"/>
        </w:rPr>
        <w:t>3.1 Pre</w:t>
      </w:r>
      <w:r w:rsidR="00000000">
        <w:rPr>
          <w:rFonts w:eastAsia="Times New Roman"/>
          <w:b/>
          <w:bCs/>
          <w:sz w:val="22"/>
          <w:szCs w:val="22"/>
          <w:u w:val="single"/>
        </w:rPr>
        <w:t>-Application Review</w:t>
      </w:r>
    </w:p>
    <w:p w14:paraId="3BF31E4B" w14:textId="77777777" w:rsidR="007B7835" w:rsidRDefault="00000000">
      <w:pPr>
        <w:spacing w:after="120"/>
      </w:pPr>
      <w:r>
        <w:rPr>
          <w:rFonts w:eastAsia="Times New Roman"/>
          <w:sz w:val="22"/>
          <w:szCs w:val="22"/>
        </w:rPr>
        <w:t>Before submitting a license application, the ECO must confirm:</w:t>
      </w:r>
    </w:p>
    <w:p w14:paraId="78DE015A" w14:textId="77777777" w:rsidR="007B7835" w:rsidRDefault="00000000">
      <w:pPr>
        <w:spacing w:after="100"/>
        <w:ind w:left="360" w:hanging="260"/>
      </w:pPr>
      <w:r>
        <w:rPr>
          <w:rFonts w:eastAsia="Times New Roman"/>
          <w:b/>
          <w:bCs/>
          <w:sz w:val="22"/>
          <w:szCs w:val="22"/>
        </w:rPr>
        <w:t xml:space="preserve">(a).  </w:t>
      </w:r>
      <w:r>
        <w:rPr>
          <w:rFonts w:eastAsia="Times New Roman"/>
          <w:sz w:val="22"/>
          <w:szCs w:val="22"/>
        </w:rPr>
        <w:t xml:space="preserve">The export classification (ECCN or USML Category) has been determined </w:t>
      </w:r>
      <w:proofErr w:type="gramStart"/>
      <w:r>
        <w:rPr>
          <w:rFonts w:eastAsia="Times New Roman"/>
          <w:sz w:val="22"/>
          <w:szCs w:val="22"/>
        </w:rPr>
        <w:t>per</w:t>
      </w:r>
      <w:proofErr w:type="gramEnd"/>
      <w:r>
        <w:rPr>
          <w:rFonts w:eastAsia="Times New Roman"/>
          <w:sz w:val="22"/>
          <w:szCs w:val="22"/>
        </w:rPr>
        <w:t xml:space="preserve"> the Order of Review (7-Internal OOR).</w:t>
      </w:r>
    </w:p>
    <w:p w14:paraId="77E6DF4A" w14:textId="77777777" w:rsidR="007B7835" w:rsidRDefault="00000000">
      <w:pPr>
        <w:spacing w:after="100"/>
        <w:ind w:left="360" w:hanging="260"/>
      </w:pPr>
      <w:r>
        <w:rPr>
          <w:rFonts w:eastAsia="Times New Roman"/>
          <w:b/>
          <w:bCs/>
          <w:sz w:val="22"/>
          <w:szCs w:val="22"/>
        </w:rPr>
        <w:t xml:space="preserve">(b).  </w:t>
      </w:r>
      <w:r>
        <w:rPr>
          <w:rFonts w:eastAsia="Times New Roman"/>
          <w:sz w:val="22"/>
          <w:szCs w:val="22"/>
        </w:rPr>
        <w:t xml:space="preserve">A license determination has been completed </w:t>
      </w:r>
      <w:proofErr w:type="gramStart"/>
      <w:r>
        <w:rPr>
          <w:rFonts w:eastAsia="Times New Roman"/>
          <w:sz w:val="22"/>
          <w:szCs w:val="22"/>
        </w:rPr>
        <w:t>per</w:t>
      </w:r>
      <w:proofErr w:type="gramEnd"/>
      <w:r>
        <w:rPr>
          <w:rFonts w:eastAsia="Times New Roman"/>
          <w:sz w:val="22"/>
          <w:szCs w:val="22"/>
        </w:rPr>
        <w:t xml:space="preserve"> the License Determination Process Flow (17-License Determination Flow</w:t>
      </w:r>
      <w:proofErr w:type="gramStart"/>
      <w:r>
        <w:rPr>
          <w:rFonts w:eastAsia="Times New Roman"/>
          <w:sz w:val="22"/>
          <w:szCs w:val="22"/>
        </w:rPr>
        <w:t>)</w:t>
      </w:r>
      <w:proofErr w:type="gramEnd"/>
      <w:r>
        <w:rPr>
          <w:rFonts w:eastAsia="Times New Roman"/>
          <w:sz w:val="22"/>
          <w:szCs w:val="22"/>
        </w:rPr>
        <w:t xml:space="preserve"> and no applicable license exception or ITAR exemption exists.</w:t>
      </w:r>
    </w:p>
    <w:p w14:paraId="6F1114FD" w14:textId="77777777" w:rsidR="007B7835" w:rsidRDefault="00000000">
      <w:pPr>
        <w:spacing w:after="100"/>
        <w:ind w:left="360" w:hanging="260"/>
      </w:pPr>
      <w:r>
        <w:rPr>
          <w:rFonts w:eastAsia="Times New Roman"/>
          <w:b/>
          <w:bCs/>
          <w:sz w:val="22"/>
          <w:szCs w:val="22"/>
        </w:rPr>
        <w:t xml:space="preserve">(c).  </w:t>
      </w:r>
      <w:r>
        <w:rPr>
          <w:rFonts w:eastAsia="Times New Roman"/>
          <w:sz w:val="22"/>
          <w:szCs w:val="22"/>
        </w:rPr>
        <w:t>A restricted party screening has been conducted within 30 days of the anticipated application date.</w:t>
      </w:r>
    </w:p>
    <w:p w14:paraId="7D5F1888" w14:textId="77777777" w:rsidR="007B7835" w:rsidRDefault="00000000">
      <w:pPr>
        <w:spacing w:after="100"/>
        <w:ind w:left="360" w:hanging="260"/>
      </w:pPr>
      <w:r>
        <w:rPr>
          <w:rFonts w:eastAsia="Times New Roman"/>
          <w:b/>
          <w:bCs/>
          <w:sz w:val="22"/>
          <w:szCs w:val="22"/>
        </w:rPr>
        <w:lastRenderedPageBreak/>
        <w:t xml:space="preserve">(d).  </w:t>
      </w:r>
      <w:r>
        <w:rPr>
          <w:rFonts w:eastAsia="Times New Roman"/>
          <w:sz w:val="22"/>
          <w:szCs w:val="22"/>
        </w:rPr>
        <w:t>An End-User Statement or Blanket End-User Statement (10-Blanket End-User Statement) has been obtained from the foreign consignee.</w:t>
      </w:r>
    </w:p>
    <w:p w14:paraId="443D0587" w14:textId="77777777" w:rsidR="007B7835" w:rsidRDefault="00000000">
      <w:pPr>
        <w:spacing w:after="100"/>
        <w:ind w:left="360" w:hanging="260"/>
      </w:pPr>
      <w:r>
        <w:rPr>
          <w:rFonts w:eastAsia="Times New Roman"/>
          <w:b/>
          <w:bCs/>
          <w:sz w:val="22"/>
          <w:szCs w:val="22"/>
        </w:rPr>
        <w:t xml:space="preserve">(e).  </w:t>
      </w:r>
      <w:r>
        <w:rPr>
          <w:rFonts w:eastAsia="Times New Roman"/>
          <w:sz w:val="22"/>
          <w:szCs w:val="22"/>
        </w:rPr>
        <w:t>For DDTC agreements (TAA/MLA): a TAA/MLA Transmittal letter (22-TAA_MLA Transmittal) has been prepared.</w:t>
      </w:r>
    </w:p>
    <w:p w14:paraId="7409EA13" w14:textId="77777777" w:rsidR="007B7835" w:rsidRDefault="007B7835">
      <w:pPr>
        <w:spacing w:after="100"/>
      </w:pPr>
    </w:p>
    <w:p w14:paraId="3B65D988" w14:textId="0390169B" w:rsidR="007B7835" w:rsidRDefault="004E4BF8">
      <w:pPr>
        <w:spacing w:before="180" w:after="80"/>
      </w:pPr>
      <w:r>
        <w:rPr>
          <w:b/>
          <w:bCs/>
          <w:sz w:val="22"/>
          <w:szCs w:val="22"/>
          <w:u w:val="single"/>
        </w:rPr>
        <w:t>3.2 Application</w:t>
      </w:r>
      <w:r w:rsidR="00000000">
        <w:rPr>
          <w:rFonts w:eastAsia="Times New Roman"/>
          <w:b/>
          <w:bCs/>
          <w:sz w:val="22"/>
          <w:szCs w:val="22"/>
          <w:u w:val="single"/>
        </w:rPr>
        <w:t xml:space="preserve"> Submission</w:t>
      </w:r>
    </w:p>
    <w:p w14:paraId="4D570F58"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EAR license applications are submitted via SNAP-R (snapr.bis.doc.gov).</w:t>
      </w:r>
    </w:p>
    <w:p w14:paraId="1FF4941D"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ITAR license and agreement applications are submitted via DECCS (deccs.state.gov).</w:t>
      </w:r>
    </w:p>
    <w:p w14:paraId="04E2DAA8"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OFAC specific license applications are submitted at licensing.ofac.treas.gov.</w:t>
      </w:r>
    </w:p>
    <w:p w14:paraId="0DEB0267"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The application reference number, submission date, and estimated processing time are recorded in the License Register (§ 4) on the date of submission.</w:t>
      </w:r>
    </w:p>
    <w:p w14:paraId="0BC7D2B5"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The ECO notifies the relevant sales/logistics personnel of the pending application and expected processing timeline.  Shipments must not be committed until the license is received.</w:t>
      </w:r>
    </w:p>
    <w:p w14:paraId="0BEB2074" w14:textId="77777777" w:rsidR="007B7835" w:rsidRDefault="007B7835">
      <w:pPr>
        <w:spacing w:after="100"/>
      </w:pPr>
    </w:p>
    <w:p w14:paraId="5648CC8B" w14:textId="60558BC1" w:rsidR="007B7835" w:rsidRDefault="004E4BF8">
      <w:pPr>
        <w:spacing w:before="180" w:after="80"/>
      </w:pPr>
      <w:r>
        <w:rPr>
          <w:b/>
          <w:bCs/>
          <w:sz w:val="22"/>
          <w:szCs w:val="22"/>
          <w:u w:val="single"/>
        </w:rPr>
        <w:t>3.3 License</w:t>
      </w:r>
      <w:r w:rsidR="00000000">
        <w:rPr>
          <w:rFonts w:eastAsia="Times New Roman"/>
          <w:b/>
          <w:bCs/>
          <w:sz w:val="22"/>
          <w:szCs w:val="22"/>
          <w:u w:val="single"/>
        </w:rPr>
        <w:t xml:space="preserve"> Receipt and Review</w:t>
      </w:r>
    </w:p>
    <w:p w14:paraId="41DBD87F" w14:textId="77777777" w:rsidR="007B7835" w:rsidRDefault="00000000">
      <w:pPr>
        <w:spacing w:after="120"/>
      </w:pPr>
      <w:r>
        <w:rPr>
          <w:rFonts w:eastAsia="Times New Roman"/>
          <w:sz w:val="22"/>
          <w:szCs w:val="22"/>
        </w:rPr>
        <w:t>Upon receipt of a license or authorization, the ECO must complete the following review before any shipment is authorized:</w:t>
      </w:r>
    </w:p>
    <w:p w14:paraId="2A0D5E79" w14:textId="77777777" w:rsidR="007B7835" w:rsidRDefault="00000000">
      <w:pPr>
        <w:spacing w:after="100"/>
        <w:ind w:left="360" w:hanging="260"/>
      </w:pPr>
      <w:r>
        <w:rPr>
          <w:rFonts w:eastAsia="Times New Roman"/>
          <w:b/>
          <w:bCs/>
          <w:sz w:val="22"/>
          <w:szCs w:val="22"/>
        </w:rPr>
        <w:t xml:space="preserve">(a).  </w:t>
      </w:r>
      <w:r>
        <w:rPr>
          <w:rFonts w:eastAsia="Times New Roman"/>
          <w:sz w:val="22"/>
          <w:szCs w:val="22"/>
        </w:rPr>
        <w:t>Confirm the license was issued as requested; note any differences in authorized parties, quantities, values, items, or conditions from the application.</w:t>
      </w:r>
    </w:p>
    <w:p w14:paraId="5DEE15BB" w14:textId="77777777" w:rsidR="007B7835" w:rsidRDefault="00000000">
      <w:pPr>
        <w:spacing w:after="100"/>
        <w:ind w:left="360" w:hanging="260"/>
      </w:pPr>
      <w:r>
        <w:rPr>
          <w:rFonts w:eastAsia="Times New Roman"/>
          <w:b/>
          <w:bCs/>
          <w:sz w:val="22"/>
          <w:szCs w:val="22"/>
        </w:rPr>
        <w:t xml:space="preserve">(b).  </w:t>
      </w:r>
      <w:r>
        <w:rPr>
          <w:rFonts w:eastAsia="Times New Roman"/>
          <w:sz w:val="22"/>
          <w:szCs w:val="22"/>
        </w:rPr>
        <w:t>Read ALL provisos and conditions.  Create a proviso summary and attach it to the License Register entry.  Use the Proviso Tracking Log (30-Proviso Tracking Log) for licenses with multiple or complex provisos.</w:t>
      </w:r>
    </w:p>
    <w:p w14:paraId="11C4959B" w14:textId="77777777" w:rsidR="007B7835" w:rsidRDefault="00000000">
      <w:pPr>
        <w:spacing w:after="100"/>
        <w:ind w:left="360" w:hanging="260"/>
      </w:pPr>
      <w:r>
        <w:rPr>
          <w:rFonts w:eastAsia="Times New Roman"/>
          <w:b/>
          <w:bCs/>
          <w:sz w:val="22"/>
          <w:szCs w:val="22"/>
        </w:rPr>
        <w:t xml:space="preserve">(c).  </w:t>
      </w:r>
      <w:r>
        <w:rPr>
          <w:rFonts w:eastAsia="Times New Roman"/>
          <w:sz w:val="22"/>
          <w:szCs w:val="22"/>
        </w:rPr>
        <w:t>Confirm the authorized items, ECCN/USML, quantities, values, end-users, destinations, and expiration date match Company records and open orders.</w:t>
      </w:r>
    </w:p>
    <w:p w14:paraId="3DAC19A6" w14:textId="77777777" w:rsidR="007B7835" w:rsidRDefault="00000000">
      <w:pPr>
        <w:spacing w:after="100"/>
        <w:ind w:left="360" w:hanging="260"/>
      </w:pPr>
      <w:r>
        <w:rPr>
          <w:rFonts w:eastAsia="Times New Roman"/>
          <w:b/>
          <w:bCs/>
          <w:sz w:val="22"/>
          <w:szCs w:val="22"/>
        </w:rPr>
        <w:t xml:space="preserve">(d).  </w:t>
      </w:r>
      <w:r>
        <w:rPr>
          <w:rFonts w:eastAsia="Times New Roman"/>
          <w:sz w:val="22"/>
          <w:szCs w:val="22"/>
        </w:rPr>
        <w:t>Notify relevant personnel (sales, logistics, finance) of the license receipt, authorized parameters, and any conditions affecting their functions.</w:t>
      </w:r>
    </w:p>
    <w:p w14:paraId="0E60D3F1" w14:textId="77777777" w:rsidR="007B7835" w:rsidRDefault="00000000">
      <w:pPr>
        <w:spacing w:after="100"/>
        <w:ind w:left="360" w:hanging="260"/>
      </w:pPr>
      <w:r>
        <w:rPr>
          <w:rFonts w:eastAsia="Times New Roman"/>
          <w:b/>
          <w:bCs/>
          <w:sz w:val="22"/>
          <w:szCs w:val="22"/>
        </w:rPr>
        <w:t xml:space="preserve">(e).  </w:t>
      </w:r>
      <w:r>
        <w:rPr>
          <w:rFonts w:eastAsia="Times New Roman"/>
          <w:sz w:val="22"/>
          <w:szCs w:val="22"/>
        </w:rPr>
        <w:t>File the original license in the physical compliance file and record it in the License Register.</w:t>
      </w:r>
    </w:p>
    <w:p w14:paraId="33AF87D6" w14:textId="77777777" w:rsidR="007B7835" w:rsidRDefault="00000000">
      <w:pPr>
        <w:spacing w:after="100"/>
        <w:ind w:left="360" w:hanging="260"/>
      </w:pPr>
      <w:r>
        <w:rPr>
          <w:rFonts w:eastAsia="Times New Roman"/>
          <w:b/>
          <w:bCs/>
          <w:sz w:val="22"/>
          <w:szCs w:val="22"/>
        </w:rPr>
        <w:t xml:space="preserve">(f).  </w:t>
      </w:r>
      <w:r>
        <w:rPr>
          <w:rFonts w:eastAsia="Times New Roman"/>
          <w:sz w:val="22"/>
          <w:szCs w:val="22"/>
        </w:rPr>
        <w:t>For ITAR licenses: verify no § 126.1 country or proscribed party is involved; confirm deemed export review (12-Deemed Export Review Form) is completed if foreign nationals will have access.</w:t>
      </w:r>
    </w:p>
    <w:p w14:paraId="6FFAFAED" w14:textId="77777777" w:rsidR="007B7835" w:rsidRDefault="007B7835">
      <w:pPr>
        <w:spacing w:after="200"/>
      </w:pPr>
    </w:p>
    <w:p w14:paraId="0A793C4E"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1AFE5CBF"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680B2685" w14:textId="77777777" w:rsidR="007B7835" w:rsidRDefault="00000000">
            <w:pPr>
              <w:jc w:val="center"/>
            </w:pPr>
            <w:r>
              <w:rPr>
                <w:rFonts w:eastAsia="Times New Roman"/>
                <w:b/>
                <w:bCs/>
                <w:color w:val="FFFFFF"/>
                <w:sz w:val="22"/>
                <w:szCs w:val="22"/>
              </w:rPr>
              <w:t>§ 4</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0ED1A046" w14:textId="77777777" w:rsidR="007B7835" w:rsidRDefault="00000000">
            <w:r>
              <w:rPr>
                <w:rFonts w:eastAsia="Times New Roman"/>
                <w:b/>
                <w:bCs/>
                <w:color w:val="FFFFFF"/>
                <w:sz w:val="22"/>
                <w:szCs w:val="22"/>
              </w:rPr>
              <w:t>LICENSE REGISTER</w:t>
            </w:r>
          </w:p>
        </w:tc>
      </w:tr>
    </w:tbl>
    <w:p w14:paraId="2B38D185" w14:textId="77777777" w:rsidR="007B7835" w:rsidRDefault="007B7835">
      <w:pPr>
        <w:spacing w:after="100"/>
      </w:pPr>
    </w:p>
    <w:p w14:paraId="3DCAB5C1" w14:textId="2E1CE287" w:rsidR="007B7835" w:rsidRDefault="004E4BF8">
      <w:pPr>
        <w:spacing w:after="120"/>
      </w:pPr>
      <w:r>
        <w:rPr>
          <w:sz w:val="22"/>
          <w:szCs w:val="22"/>
        </w:rPr>
        <w:t>4.1 The</w:t>
      </w:r>
      <w:r w:rsidR="00000000">
        <w:rPr>
          <w:rFonts w:eastAsia="Times New Roman"/>
          <w:sz w:val="22"/>
          <w:szCs w:val="22"/>
        </w:rPr>
        <w:t xml:space="preserve"> ECO maintains a License Register — a running inventory of all active and recently expired export authorizations.  The Register must be updated within two (2) business days of any change in license status (receipt, shipment, amendment, expiration).</w:t>
      </w:r>
    </w:p>
    <w:p w14:paraId="24AB902C" w14:textId="77777777" w:rsidR="007B7835" w:rsidRDefault="007B7835">
      <w:pPr>
        <w:spacing w:after="100"/>
      </w:pPr>
    </w:p>
    <w:p w14:paraId="64C6A067" w14:textId="02202365" w:rsidR="007B7835" w:rsidRDefault="004E4BF8">
      <w:pPr>
        <w:spacing w:after="120"/>
      </w:pPr>
      <w:r>
        <w:rPr>
          <w:sz w:val="22"/>
          <w:szCs w:val="22"/>
        </w:rPr>
        <w:t>4.2 The</w:t>
      </w:r>
      <w:r w:rsidR="00000000">
        <w:rPr>
          <w:rFonts w:eastAsia="Times New Roman"/>
          <w:sz w:val="22"/>
          <w:szCs w:val="22"/>
        </w:rPr>
        <w:t xml:space="preserve"> License Register includes the following minimum data elements for each authorization:</w:t>
      </w:r>
    </w:p>
    <w:p w14:paraId="33048701"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400"/>
        <w:gridCol w:w="5160"/>
      </w:tblGrid>
      <w:tr w:rsidR="007B7835" w14:paraId="4DF5C925"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FBC074E" w14:textId="77777777" w:rsidR="007B7835" w:rsidRDefault="00000000">
            <w:pPr>
              <w:jc w:val="center"/>
            </w:pPr>
            <w:r>
              <w:rPr>
                <w:rFonts w:eastAsia="Times New Roman"/>
                <w:b/>
                <w:bCs/>
                <w:sz w:val="22"/>
                <w:szCs w:val="22"/>
              </w:rPr>
              <w:t>Field</w:t>
            </w:r>
          </w:p>
        </w:tc>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B712249" w14:textId="77777777" w:rsidR="007B7835" w:rsidRDefault="00000000">
            <w:r>
              <w:rPr>
                <w:rFonts w:eastAsia="Times New Roman"/>
                <w:b/>
                <w:bCs/>
                <w:sz w:val="22"/>
                <w:szCs w:val="22"/>
              </w:rPr>
              <w:t>Example</w:t>
            </w:r>
          </w:p>
        </w:tc>
        <w:tc>
          <w:tcPr>
            <w:tcW w:w="5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E3D3A63" w14:textId="77777777" w:rsidR="007B7835" w:rsidRDefault="00000000">
            <w:r>
              <w:rPr>
                <w:rFonts w:eastAsia="Times New Roman"/>
                <w:b/>
                <w:bCs/>
                <w:sz w:val="22"/>
                <w:szCs w:val="22"/>
              </w:rPr>
              <w:t>Notes</w:t>
            </w:r>
          </w:p>
        </w:tc>
      </w:tr>
      <w:tr w:rsidR="007B7835" w14:paraId="2143DC0B"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93280D5" w14:textId="77777777" w:rsidR="007B7835" w:rsidRDefault="00000000">
            <w:r>
              <w:rPr>
                <w:rFonts w:eastAsia="Times New Roman"/>
              </w:rPr>
              <w:t>License No.</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18556E6" w14:textId="77777777" w:rsidR="007B7835" w:rsidRDefault="00000000">
            <w:r>
              <w:rPr>
                <w:rFonts w:eastAsia="Times New Roman"/>
                <w:i/>
                <w:iCs/>
              </w:rPr>
              <w:t>BIS-2024-xxxxx / DSP-5-xxxxx</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363A880" w14:textId="77777777" w:rsidR="007B7835" w:rsidRDefault="00000000">
            <w:r>
              <w:rPr>
                <w:rFonts w:eastAsia="Times New Roman"/>
              </w:rPr>
              <w:t>Assigned by BIS or DDTC upon approval</w:t>
            </w:r>
          </w:p>
        </w:tc>
      </w:tr>
      <w:tr w:rsidR="007B7835" w14:paraId="774D6F50"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35D458C" w14:textId="77777777" w:rsidR="007B7835" w:rsidRDefault="00000000">
            <w:r>
              <w:rPr>
                <w:rFonts w:eastAsia="Times New Roman"/>
              </w:rPr>
              <w:lastRenderedPageBreak/>
              <w:t>Authorization Type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C41E47F" w14:textId="77777777" w:rsidR="007B7835" w:rsidRDefault="00000000">
            <w:r>
              <w:rPr>
                <w:rFonts w:eastAsia="Times New Roman"/>
                <w:i/>
                <w:iCs/>
              </w:rPr>
              <w:t>BIS License / TAA / DSP-5 / MLA</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6E7D7C5" w14:textId="77777777" w:rsidR="007B7835" w:rsidRDefault="007B7835"/>
        </w:tc>
      </w:tr>
      <w:tr w:rsidR="007B7835" w14:paraId="7B6846A4"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0B44C97" w14:textId="77777777" w:rsidR="007B7835" w:rsidRDefault="00000000">
            <w:r>
              <w:rPr>
                <w:rFonts w:eastAsia="Times New Roman"/>
              </w:rPr>
              <w:t>Application Date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FEB38DC" w14:textId="77777777" w:rsidR="007B7835" w:rsidRDefault="00000000">
            <w:r>
              <w:rPr>
                <w:rFonts w:eastAsia="Times New Roman"/>
                <w:i/>
                <w:iCs/>
              </w:rPr>
              <w:t>15-Jan-2025</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DF14171" w14:textId="77777777" w:rsidR="007B7835" w:rsidRDefault="00000000">
            <w:r>
              <w:rPr>
                <w:rFonts w:eastAsia="Times New Roman"/>
              </w:rPr>
              <w:t>Date submitted to BIS/DDTC</w:t>
            </w:r>
          </w:p>
        </w:tc>
      </w:tr>
      <w:tr w:rsidR="007B7835" w14:paraId="1255D2DC"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A6B036D" w14:textId="77777777" w:rsidR="007B7835" w:rsidRDefault="00000000">
            <w:r>
              <w:rPr>
                <w:rFonts w:eastAsia="Times New Roman"/>
              </w:rPr>
              <w:t>Issue Date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66F648F" w14:textId="77777777" w:rsidR="007B7835" w:rsidRDefault="00000000">
            <w:r>
              <w:rPr>
                <w:rFonts w:eastAsia="Times New Roman"/>
                <w:i/>
                <w:iCs/>
              </w:rPr>
              <w:t>15-Mar-2025</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A71945F" w14:textId="77777777" w:rsidR="007B7835" w:rsidRDefault="007B7835"/>
        </w:tc>
      </w:tr>
      <w:tr w:rsidR="007B7835" w14:paraId="74B1B2C6"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1870D4E" w14:textId="77777777" w:rsidR="007B7835" w:rsidRDefault="00000000">
            <w:r>
              <w:rPr>
                <w:rFonts w:eastAsia="Times New Roman"/>
              </w:rPr>
              <w:t>Expiration Date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5161279" w14:textId="77777777" w:rsidR="007B7835" w:rsidRDefault="00000000">
            <w:r>
              <w:rPr>
                <w:rFonts w:eastAsia="Times New Roman"/>
                <w:i/>
                <w:iCs/>
              </w:rPr>
              <w:t>14-Mar-2027</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ACF7B16" w14:textId="77777777" w:rsidR="007B7835" w:rsidRDefault="00000000">
            <w:r>
              <w:rPr>
                <w:rFonts w:eastAsia="Times New Roman"/>
              </w:rPr>
              <w:t>Alert at 90, 60, 30 days</w:t>
            </w:r>
          </w:p>
        </w:tc>
      </w:tr>
      <w:tr w:rsidR="007B7835" w14:paraId="61D99B7A"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0244BD4" w14:textId="77777777" w:rsidR="007B7835" w:rsidRDefault="00000000">
            <w:r>
              <w:rPr>
                <w:rFonts w:eastAsia="Times New Roman"/>
              </w:rPr>
              <w:t>Authorized Items</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B7DE9D7" w14:textId="77777777" w:rsidR="007B7835" w:rsidRDefault="00000000">
            <w:r>
              <w:rPr>
                <w:rFonts w:eastAsia="Times New Roman"/>
                <w:i/>
                <w:iCs/>
              </w:rPr>
              <w:t>Widget XYZ (ECCN 3A001.a)</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880D78A" w14:textId="77777777" w:rsidR="007B7835" w:rsidRDefault="00000000">
            <w:r>
              <w:rPr>
                <w:rFonts w:eastAsia="Times New Roman"/>
              </w:rPr>
              <w:t>Include all USML/CCL references</w:t>
            </w:r>
          </w:p>
        </w:tc>
      </w:tr>
      <w:tr w:rsidR="007B7835" w14:paraId="306349F5"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42E890F" w14:textId="77777777" w:rsidR="007B7835" w:rsidRDefault="00000000">
            <w:r>
              <w:rPr>
                <w:rFonts w:eastAsia="Times New Roman"/>
              </w:rPr>
              <w:t>Authorized End-Users</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84CFA50" w14:textId="77777777" w:rsidR="007B7835" w:rsidRDefault="00000000">
            <w:r>
              <w:rPr>
                <w:rFonts w:eastAsia="Times New Roman"/>
                <w:i/>
                <w:iCs/>
              </w:rPr>
              <w:t>ABC Corp, Germany</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C2B9E42" w14:textId="77777777" w:rsidR="007B7835" w:rsidRDefault="00000000">
            <w:r>
              <w:rPr>
                <w:rFonts w:eastAsia="Times New Roman"/>
              </w:rPr>
              <w:t>All consignees listed on license</w:t>
            </w:r>
          </w:p>
        </w:tc>
      </w:tr>
      <w:tr w:rsidR="007B7835" w14:paraId="2D1F99E3"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C18F8C5" w14:textId="77777777" w:rsidR="007B7835" w:rsidRDefault="00000000">
            <w:r>
              <w:rPr>
                <w:rFonts w:eastAsia="Times New Roman"/>
              </w:rPr>
              <w:t>Authorized Destination(s)</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50C8352" w14:textId="77777777" w:rsidR="007B7835" w:rsidRDefault="00000000">
            <w:r>
              <w:rPr>
                <w:rFonts w:eastAsia="Times New Roman"/>
                <w:i/>
                <w:iCs/>
              </w:rPr>
              <w:t>Germany</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C16AE0B" w14:textId="77777777" w:rsidR="007B7835" w:rsidRDefault="00000000">
            <w:r>
              <w:rPr>
                <w:rFonts w:eastAsia="Times New Roman"/>
              </w:rPr>
              <w:t>Country of ultimate destination</w:t>
            </w:r>
          </w:p>
        </w:tc>
      </w:tr>
      <w:tr w:rsidR="007B7835" w14:paraId="46C70FC6"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05F74A7" w14:textId="77777777" w:rsidR="007B7835" w:rsidRDefault="00000000">
            <w:r>
              <w:rPr>
                <w:rFonts w:eastAsia="Times New Roman"/>
              </w:rPr>
              <w:t>Authorized Qty / Value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90B06AE" w14:textId="77777777" w:rsidR="007B7835" w:rsidRDefault="00000000">
            <w:r>
              <w:rPr>
                <w:rFonts w:eastAsia="Times New Roman"/>
                <w:i/>
                <w:iCs/>
              </w:rPr>
              <w:t>100 units / $500,000</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70C1D27" w14:textId="77777777" w:rsidR="007B7835" w:rsidRDefault="00000000">
            <w:r>
              <w:rPr>
                <w:rFonts w:eastAsia="Times New Roman"/>
              </w:rPr>
              <w:t>Per license face</w:t>
            </w:r>
          </w:p>
        </w:tc>
      </w:tr>
      <w:tr w:rsidR="007B7835" w14:paraId="3273DD6C"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DB4F805" w14:textId="77777777" w:rsidR="007B7835" w:rsidRDefault="00000000">
            <w:r>
              <w:rPr>
                <w:rFonts w:eastAsia="Times New Roman"/>
              </w:rPr>
              <w:t>Shipped Qty / Value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29BB089" w14:textId="77777777" w:rsidR="007B7835" w:rsidRDefault="00000000">
            <w:r>
              <w:rPr>
                <w:rFonts w:eastAsia="Times New Roman"/>
                <w:i/>
                <w:iCs/>
              </w:rPr>
              <w:t>45 units / $225,000</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9D02DA5" w14:textId="77777777" w:rsidR="007B7835" w:rsidRDefault="00000000">
            <w:r>
              <w:rPr>
                <w:rFonts w:eastAsia="Times New Roman"/>
              </w:rPr>
              <w:t>Running total from shipment log</w:t>
            </w:r>
          </w:p>
        </w:tc>
      </w:tr>
      <w:tr w:rsidR="007B7835" w14:paraId="57F4CD95"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20257D8" w14:textId="77777777" w:rsidR="007B7835" w:rsidRDefault="00000000">
            <w:r>
              <w:rPr>
                <w:rFonts w:eastAsia="Times New Roman"/>
              </w:rPr>
              <w:t>Remaining Qty / Value</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EF0CA9E" w14:textId="77777777" w:rsidR="007B7835" w:rsidRDefault="00000000">
            <w:r>
              <w:rPr>
                <w:rFonts w:eastAsia="Times New Roman"/>
                <w:i/>
                <w:iCs/>
              </w:rPr>
              <w:t>55 units / $275,000</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699DE60" w14:textId="77777777" w:rsidR="007B7835" w:rsidRDefault="00000000">
            <w:r>
              <w:rPr>
                <w:rFonts w:eastAsia="Times New Roman"/>
              </w:rPr>
              <w:t>Calculated: authorized minus shipped</w:t>
            </w:r>
          </w:p>
        </w:tc>
      </w:tr>
      <w:tr w:rsidR="007B7835" w14:paraId="03ABC932"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57FBC9F" w14:textId="77777777" w:rsidR="007B7835" w:rsidRDefault="00000000">
            <w:r>
              <w:rPr>
                <w:rFonts w:eastAsia="Times New Roman"/>
              </w:rPr>
              <w:t>Key Provisos</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0740463" w14:textId="77777777" w:rsidR="007B7835" w:rsidRDefault="00000000">
            <w:r>
              <w:rPr>
                <w:rFonts w:eastAsia="Times New Roman"/>
                <w:i/>
                <w:iCs/>
              </w:rPr>
              <w:t>DCS required; no re-export w/o prior approval</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D947FF" w14:textId="77777777" w:rsidR="007B7835" w:rsidRDefault="00000000">
            <w:r>
              <w:rPr>
                <w:rFonts w:eastAsia="Times New Roman"/>
              </w:rPr>
              <w:t>Summary — full text in file</w:t>
            </w:r>
          </w:p>
        </w:tc>
      </w:tr>
      <w:tr w:rsidR="007B7835" w14:paraId="0FE62D23"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052488C" w14:textId="77777777" w:rsidR="007B7835" w:rsidRDefault="00000000">
            <w:r>
              <w:rPr>
                <w:rFonts w:eastAsia="Times New Roman"/>
              </w:rPr>
              <w:t>Status</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FB60458" w14:textId="77777777" w:rsidR="007B7835" w:rsidRDefault="00000000">
            <w:r>
              <w:rPr>
                <w:rFonts w:eastAsia="Times New Roman"/>
                <w:i/>
                <w:iCs/>
              </w:rPr>
              <w:t>Active / Expired / Suspended / Returned</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4D16396" w14:textId="77777777" w:rsidR="007B7835" w:rsidRDefault="007B7835"/>
        </w:tc>
      </w:tr>
      <w:tr w:rsidR="007B7835" w14:paraId="6193F863" w14:textId="77777777">
        <w:tblPrEx>
          <w:tblCellMar>
            <w:top w:w="0" w:type="dxa"/>
            <w:bottom w:w="0" w:type="dxa"/>
          </w:tblCellMar>
        </w:tblPrEx>
        <w:tc>
          <w:tcPr>
            <w:tcW w:w="1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C5E61AC" w14:textId="77777777" w:rsidR="007B7835" w:rsidRDefault="00000000">
            <w:r>
              <w:rPr>
                <w:rFonts w:eastAsia="Times New Roman"/>
              </w:rPr>
              <w:t>File Location</w:t>
            </w:r>
          </w:p>
        </w:tc>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BD5C1AD" w14:textId="77777777" w:rsidR="007B7835" w:rsidRDefault="00000000">
            <w:r>
              <w:rPr>
                <w:rFonts w:eastAsia="Times New Roman"/>
                <w:i/>
                <w:iCs/>
              </w:rPr>
              <w:t>Physical: Drawer A; Digital: [path]</w:t>
            </w:r>
          </w:p>
        </w:tc>
        <w:tc>
          <w:tcPr>
            <w:tcW w:w="5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273DA8B" w14:textId="77777777" w:rsidR="007B7835" w:rsidRDefault="007B7835"/>
        </w:tc>
      </w:tr>
    </w:tbl>
    <w:p w14:paraId="04ACCB68" w14:textId="77777777" w:rsidR="007B7835" w:rsidRDefault="007B7835">
      <w:pPr>
        <w:spacing w:after="100"/>
      </w:pPr>
    </w:p>
    <w:p w14:paraId="7403F54C" w14:textId="77777777" w:rsidR="007B7835" w:rsidRDefault="00000000">
      <w:pPr>
        <w:spacing w:after="120"/>
      </w:pPr>
      <w:proofErr w:type="gramStart"/>
      <w:r>
        <w:rPr>
          <w:rFonts w:eastAsia="Times New Roman"/>
          <w:sz w:val="22"/>
          <w:szCs w:val="22"/>
        </w:rPr>
        <w:t>4.3  The</w:t>
      </w:r>
      <w:proofErr w:type="gramEnd"/>
      <w:r>
        <w:rPr>
          <w:rFonts w:eastAsia="Times New Roman"/>
          <w:sz w:val="22"/>
          <w:szCs w:val="22"/>
        </w:rPr>
        <w:t xml:space="preserve"> License Register is reviewed by the ECO weekly and by the EO quarterly.  The EO review is documented in the compliance audit record.</w:t>
      </w:r>
    </w:p>
    <w:p w14:paraId="56E65E5E" w14:textId="77777777" w:rsidR="007B7835" w:rsidRDefault="007B7835">
      <w:pPr>
        <w:spacing w:after="200"/>
      </w:pPr>
    </w:p>
    <w:p w14:paraId="5EBF1C6E"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104042FC"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64B29175" w14:textId="77777777" w:rsidR="007B7835" w:rsidRDefault="00000000">
            <w:pPr>
              <w:jc w:val="center"/>
            </w:pPr>
            <w:r>
              <w:rPr>
                <w:rFonts w:eastAsia="Times New Roman"/>
                <w:b/>
                <w:bCs/>
                <w:color w:val="FFFFFF"/>
                <w:sz w:val="22"/>
                <w:szCs w:val="22"/>
              </w:rPr>
              <w:t>§ 5</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31832C1E" w14:textId="77777777" w:rsidR="007B7835" w:rsidRDefault="00000000">
            <w:r>
              <w:rPr>
                <w:rFonts w:eastAsia="Times New Roman"/>
                <w:b/>
                <w:bCs/>
                <w:color w:val="FFFFFF"/>
                <w:sz w:val="22"/>
                <w:szCs w:val="22"/>
              </w:rPr>
              <w:t>SHIPMENT ADMINISTRATION AND LICENSE UTILIZATION</w:t>
            </w:r>
          </w:p>
        </w:tc>
      </w:tr>
    </w:tbl>
    <w:p w14:paraId="0C5666FC" w14:textId="77777777" w:rsidR="007B7835" w:rsidRDefault="007B7835">
      <w:pPr>
        <w:spacing w:after="100"/>
      </w:pPr>
    </w:p>
    <w:p w14:paraId="69B9962E" w14:textId="15A7F796" w:rsidR="007B7835" w:rsidRDefault="004E4BF8">
      <w:pPr>
        <w:spacing w:before="180" w:after="80"/>
      </w:pPr>
      <w:r>
        <w:rPr>
          <w:b/>
          <w:bCs/>
          <w:sz w:val="22"/>
          <w:szCs w:val="22"/>
          <w:u w:val="single"/>
        </w:rPr>
        <w:t>5.1 Pre</w:t>
      </w:r>
      <w:r w:rsidR="00000000">
        <w:rPr>
          <w:rFonts w:eastAsia="Times New Roman"/>
          <w:b/>
          <w:bCs/>
          <w:sz w:val="22"/>
          <w:szCs w:val="22"/>
          <w:u w:val="single"/>
        </w:rPr>
        <w:t>-Shipment Authorization</w:t>
      </w:r>
    </w:p>
    <w:p w14:paraId="0FC34B3D" w14:textId="77777777" w:rsidR="007B7835" w:rsidRDefault="00000000">
      <w:pPr>
        <w:spacing w:after="120"/>
      </w:pPr>
      <w:r>
        <w:rPr>
          <w:rFonts w:eastAsia="Times New Roman"/>
          <w:sz w:val="22"/>
          <w:szCs w:val="22"/>
        </w:rPr>
        <w:t xml:space="preserve">For every shipment under a license, the ECO or designated compliance reviewer must confirm </w:t>
      </w:r>
      <w:proofErr w:type="gramStart"/>
      <w:r>
        <w:rPr>
          <w:rFonts w:eastAsia="Times New Roman"/>
          <w:sz w:val="22"/>
          <w:szCs w:val="22"/>
        </w:rPr>
        <w:t>all of</w:t>
      </w:r>
      <w:proofErr w:type="gramEnd"/>
      <w:r>
        <w:rPr>
          <w:rFonts w:eastAsia="Times New Roman"/>
          <w:sz w:val="22"/>
          <w:szCs w:val="22"/>
        </w:rPr>
        <w:t xml:space="preserve"> the following before goods are released:</w:t>
      </w:r>
    </w:p>
    <w:p w14:paraId="522A258C" w14:textId="77777777" w:rsidR="007B7835" w:rsidRDefault="00000000">
      <w:pPr>
        <w:spacing w:after="100"/>
        <w:ind w:left="360" w:hanging="260"/>
      </w:pPr>
      <w:r>
        <w:rPr>
          <w:rFonts w:eastAsia="Times New Roman"/>
          <w:b/>
          <w:bCs/>
          <w:sz w:val="22"/>
          <w:szCs w:val="22"/>
        </w:rPr>
        <w:t xml:space="preserve">(a).  </w:t>
      </w:r>
      <w:r>
        <w:rPr>
          <w:rFonts w:eastAsia="Times New Roman"/>
          <w:sz w:val="22"/>
          <w:szCs w:val="22"/>
        </w:rPr>
        <w:t>The specific items, quantities, and values in the proposed shipment are within the remaining authorized parameters of the license.</w:t>
      </w:r>
    </w:p>
    <w:p w14:paraId="35EF4327" w14:textId="77777777" w:rsidR="007B7835" w:rsidRDefault="00000000">
      <w:pPr>
        <w:spacing w:after="100"/>
        <w:ind w:left="360" w:hanging="260"/>
      </w:pPr>
      <w:r>
        <w:rPr>
          <w:rFonts w:eastAsia="Times New Roman"/>
          <w:b/>
          <w:bCs/>
          <w:sz w:val="22"/>
          <w:szCs w:val="22"/>
        </w:rPr>
        <w:t xml:space="preserve">(b).  </w:t>
      </w:r>
      <w:r>
        <w:rPr>
          <w:rFonts w:eastAsia="Times New Roman"/>
          <w:sz w:val="22"/>
          <w:szCs w:val="22"/>
        </w:rPr>
        <w:t>The consignee and destination match those authorized on the license face or a named annex.</w:t>
      </w:r>
    </w:p>
    <w:p w14:paraId="36EFFA19" w14:textId="77777777" w:rsidR="007B7835" w:rsidRDefault="00000000">
      <w:pPr>
        <w:spacing w:after="100"/>
        <w:ind w:left="360" w:hanging="260"/>
      </w:pPr>
      <w:r>
        <w:rPr>
          <w:rFonts w:eastAsia="Times New Roman"/>
          <w:b/>
          <w:bCs/>
          <w:sz w:val="22"/>
          <w:szCs w:val="22"/>
        </w:rPr>
        <w:t xml:space="preserve">(c).  </w:t>
      </w:r>
      <w:r>
        <w:rPr>
          <w:rFonts w:eastAsia="Times New Roman"/>
          <w:sz w:val="22"/>
          <w:szCs w:val="22"/>
        </w:rPr>
        <w:t>All provisos applicable to the shipment have been reviewed and are satisfied (e.g., end-use certificate received, prior written consent obtained for re-export, reporting completed).</w:t>
      </w:r>
    </w:p>
    <w:p w14:paraId="2F5A5D23" w14:textId="77777777" w:rsidR="007B7835" w:rsidRDefault="00000000">
      <w:pPr>
        <w:spacing w:after="100"/>
        <w:ind w:left="360" w:hanging="260"/>
      </w:pPr>
      <w:r>
        <w:rPr>
          <w:rFonts w:eastAsia="Times New Roman"/>
          <w:b/>
          <w:bCs/>
          <w:sz w:val="22"/>
          <w:szCs w:val="22"/>
        </w:rPr>
        <w:t xml:space="preserve">(d).  </w:t>
      </w:r>
      <w:r>
        <w:rPr>
          <w:rFonts w:eastAsia="Times New Roman"/>
          <w:sz w:val="22"/>
          <w:szCs w:val="22"/>
        </w:rPr>
        <w:t>The license has not expired and has not been suspended or revoked.</w:t>
      </w:r>
    </w:p>
    <w:p w14:paraId="38B3C934" w14:textId="77777777" w:rsidR="007B7835" w:rsidRDefault="00000000">
      <w:pPr>
        <w:spacing w:after="100"/>
        <w:ind w:left="360" w:hanging="260"/>
      </w:pPr>
      <w:r>
        <w:rPr>
          <w:rFonts w:eastAsia="Times New Roman"/>
          <w:b/>
          <w:bCs/>
          <w:sz w:val="22"/>
          <w:szCs w:val="22"/>
        </w:rPr>
        <w:t xml:space="preserve">(e).  </w:t>
      </w:r>
      <w:r>
        <w:rPr>
          <w:rFonts w:eastAsia="Times New Roman"/>
          <w:sz w:val="22"/>
          <w:szCs w:val="22"/>
        </w:rPr>
        <w:t>A current restricted party screening (within 30 days) has confirmed no match for the consignee, end-user, and freight forwarder.</w:t>
      </w:r>
    </w:p>
    <w:p w14:paraId="643AA049" w14:textId="77777777" w:rsidR="007B7835" w:rsidRDefault="00000000">
      <w:pPr>
        <w:spacing w:after="100"/>
        <w:ind w:left="360" w:hanging="260"/>
      </w:pPr>
      <w:r>
        <w:rPr>
          <w:rFonts w:eastAsia="Times New Roman"/>
          <w:b/>
          <w:bCs/>
          <w:sz w:val="22"/>
          <w:szCs w:val="22"/>
        </w:rPr>
        <w:lastRenderedPageBreak/>
        <w:t xml:space="preserve">(f).  </w:t>
      </w:r>
      <w:r>
        <w:rPr>
          <w:rFonts w:eastAsia="Times New Roman"/>
          <w:sz w:val="22"/>
          <w:szCs w:val="22"/>
        </w:rPr>
        <w:t>The 24-Export Compliance Checklist has been completed and signed off for this shipment.</w:t>
      </w:r>
    </w:p>
    <w:p w14:paraId="38240CE7" w14:textId="77777777" w:rsidR="007B7835" w:rsidRDefault="007B7835">
      <w:pPr>
        <w:spacing w:after="100"/>
      </w:pPr>
    </w:p>
    <w:p w14:paraId="5A0FC179" w14:textId="7C58F2F3" w:rsidR="007B7835" w:rsidRDefault="004E4BF8">
      <w:pPr>
        <w:spacing w:before="180" w:after="80"/>
      </w:pPr>
      <w:r>
        <w:rPr>
          <w:b/>
          <w:bCs/>
          <w:sz w:val="22"/>
          <w:szCs w:val="22"/>
          <w:u w:val="single"/>
        </w:rPr>
        <w:t>5.2 Shipment</w:t>
      </w:r>
      <w:r w:rsidR="00000000">
        <w:rPr>
          <w:rFonts w:eastAsia="Times New Roman"/>
          <w:b/>
          <w:bCs/>
          <w:sz w:val="22"/>
          <w:szCs w:val="22"/>
          <w:u w:val="single"/>
        </w:rPr>
        <w:t xml:space="preserve"> Log</w:t>
      </w:r>
    </w:p>
    <w:p w14:paraId="297E2AB5" w14:textId="77777777" w:rsidR="007B7835" w:rsidRDefault="00000000">
      <w:pPr>
        <w:spacing w:after="120"/>
      </w:pPr>
      <w:r>
        <w:rPr>
          <w:rFonts w:eastAsia="Times New Roman"/>
          <w:sz w:val="22"/>
          <w:szCs w:val="22"/>
        </w:rPr>
        <w:t xml:space="preserve">For each shipment under a license, the </w:t>
      </w:r>
      <w:proofErr w:type="gramStart"/>
      <w:r>
        <w:rPr>
          <w:rFonts w:eastAsia="Times New Roman"/>
          <w:sz w:val="22"/>
          <w:szCs w:val="22"/>
        </w:rPr>
        <w:t>Logistics</w:t>
      </w:r>
      <w:proofErr w:type="gramEnd"/>
      <w:r>
        <w:rPr>
          <w:rFonts w:eastAsia="Times New Roman"/>
          <w:sz w:val="22"/>
          <w:szCs w:val="22"/>
        </w:rPr>
        <w:t xml:space="preserve"> team records the following in the Shipment Log (maintained as an appendix to the License Register entry or in the compliance system):</w:t>
      </w:r>
    </w:p>
    <w:p w14:paraId="68391CDF"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160"/>
        <w:gridCol w:w="4800"/>
      </w:tblGrid>
      <w:tr w:rsidR="007B7835" w14:paraId="1F721060"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2157CE9" w14:textId="77777777" w:rsidR="007B7835" w:rsidRDefault="00000000">
            <w:r>
              <w:rPr>
                <w:rFonts w:eastAsia="Times New Roman"/>
                <w:b/>
                <w:bCs/>
                <w:sz w:val="22"/>
                <w:szCs w:val="22"/>
              </w:rPr>
              <w:t>Field</w:t>
            </w:r>
          </w:p>
        </w:tc>
        <w:tc>
          <w:tcPr>
            <w:tcW w:w="2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D65F80C" w14:textId="77777777" w:rsidR="007B7835" w:rsidRDefault="00000000">
            <w:r>
              <w:rPr>
                <w:rFonts w:eastAsia="Times New Roman"/>
                <w:b/>
                <w:bCs/>
                <w:sz w:val="22"/>
                <w:szCs w:val="22"/>
              </w:rPr>
              <w:t>Example</w:t>
            </w:r>
          </w:p>
        </w:tc>
        <w:tc>
          <w:tcPr>
            <w:tcW w:w="4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BE9B283" w14:textId="77777777" w:rsidR="007B7835" w:rsidRDefault="00000000">
            <w:r>
              <w:rPr>
                <w:rFonts w:eastAsia="Times New Roman"/>
                <w:b/>
                <w:bCs/>
                <w:sz w:val="22"/>
                <w:szCs w:val="22"/>
              </w:rPr>
              <w:t>Notes</w:t>
            </w:r>
          </w:p>
        </w:tc>
      </w:tr>
      <w:tr w:rsidR="007B7835" w14:paraId="27C7B8D1"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5EB02F8" w14:textId="77777777" w:rsidR="007B7835" w:rsidRDefault="00000000">
            <w:r>
              <w:rPr>
                <w:rFonts w:eastAsia="Times New Roman"/>
              </w:rPr>
              <w:t>Shipment Date</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3DDEAF7" w14:textId="77777777" w:rsidR="007B7835" w:rsidRDefault="00000000">
            <w:r>
              <w:rPr>
                <w:rFonts w:eastAsia="Times New Roman"/>
                <w:i/>
                <w:iCs/>
              </w:rPr>
              <w:t>15-Jun-2025</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38BDDC6" w14:textId="77777777" w:rsidR="007B7835" w:rsidRDefault="00000000">
            <w:r>
              <w:rPr>
                <w:rFonts w:eastAsia="Times New Roman"/>
              </w:rPr>
              <w:t xml:space="preserve">Date of export </w:t>
            </w:r>
            <w:proofErr w:type="gramStart"/>
            <w:r>
              <w:rPr>
                <w:rFonts w:eastAsia="Times New Roman"/>
              </w:rPr>
              <w:t>per</w:t>
            </w:r>
            <w:proofErr w:type="gramEnd"/>
            <w:r>
              <w:rPr>
                <w:rFonts w:eastAsia="Times New Roman"/>
              </w:rPr>
              <w:t xml:space="preserve"> shipping documents</w:t>
            </w:r>
          </w:p>
        </w:tc>
      </w:tr>
      <w:tr w:rsidR="007B7835" w14:paraId="1BAEE17E"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409F322" w14:textId="77777777" w:rsidR="007B7835" w:rsidRDefault="00000000">
            <w:r>
              <w:rPr>
                <w:rFonts w:eastAsia="Times New Roman"/>
              </w:rPr>
              <w:t>Shipment Reference / AWB No.</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CC12495" w14:textId="77777777" w:rsidR="007B7835" w:rsidRDefault="00000000">
            <w:r>
              <w:rPr>
                <w:rFonts w:eastAsia="Times New Roman"/>
                <w:i/>
                <w:iCs/>
              </w:rPr>
              <w:t>AWB 123-456-7890</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8A5620A" w14:textId="77777777" w:rsidR="007B7835" w:rsidRDefault="007B7835"/>
        </w:tc>
      </w:tr>
      <w:tr w:rsidR="007B7835" w14:paraId="6AF4DAE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F0D59AB" w14:textId="77777777" w:rsidR="007B7835" w:rsidRDefault="00000000">
            <w:r>
              <w:rPr>
                <w:rFonts w:eastAsia="Times New Roman"/>
              </w:rPr>
              <w:t>Consignee</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35C61E" w14:textId="77777777" w:rsidR="007B7835" w:rsidRDefault="00000000">
            <w:r>
              <w:rPr>
                <w:rFonts w:eastAsia="Times New Roman"/>
                <w:i/>
                <w:iCs/>
              </w:rPr>
              <w:t>ABC Corp, Munich, Germany</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FFE544D" w14:textId="77777777" w:rsidR="007B7835" w:rsidRDefault="00000000">
            <w:r>
              <w:rPr>
                <w:rFonts w:eastAsia="Times New Roman"/>
              </w:rPr>
              <w:t>Must match license</w:t>
            </w:r>
          </w:p>
        </w:tc>
      </w:tr>
      <w:tr w:rsidR="007B7835" w14:paraId="46065FD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E7F7E7A" w14:textId="77777777" w:rsidR="007B7835" w:rsidRDefault="00000000">
            <w:r>
              <w:rPr>
                <w:rFonts w:eastAsia="Times New Roman"/>
              </w:rPr>
              <w:t>Items Shipped</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C23FA25" w14:textId="77777777" w:rsidR="007B7835" w:rsidRDefault="00000000">
            <w:r>
              <w:rPr>
                <w:rFonts w:eastAsia="Times New Roman"/>
                <w:i/>
                <w:iCs/>
              </w:rPr>
              <w:t>Widget XYZ × 10 units</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B401F87" w14:textId="77777777" w:rsidR="007B7835" w:rsidRDefault="00000000">
            <w:r>
              <w:rPr>
                <w:rFonts w:eastAsia="Times New Roman"/>
              </w:rPr>
              <w:t>Description per license</w:t>
            </w:r>
          </w:p>
        </w:tc>
      </w:tr>
      <w:tr w:rsidR="007B7835" w14:paraId="34BA0931"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D96FD10" w14:textId="77777777" w:rsidR="007B7835" w:rsidRDefault="00000000">
            <w:r>
              <w:rPr>
                <w:rFonts w:eastAsia="Times New Roman"/>
              </w:rPr>
              <w:t>Quantity Shipped</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4773FBB" w14:textId="77777777" w:rsidR="007B7835" w:rsidRDefault="00000000">
            <w:r>
              <w:rPr>
                <w:rFonts w:eastAsia="Times New Roman"/>
                <w:i/>
                <w:iCs/>
              </w:rPr>
              <w:t>10 units</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DD4B896" w14:textId="77777777" w:rsidR="007B7835" w:rsidRDefault="007B7835"/>
        </w:tc>
      </w:tr>
      <w:tr w:rsidR="007B7835" w14:paraId="1C9E2309"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FFF6734" w14:textId="77777777" w:rsidR="007B7835" w:rsidRDefault="00000000">
            <w:r>
              <w:rPr>
                <w:rFonts w:eastAsia="Times New Roman"/>
              </w:rPr>
              <w:t>Value Shipped (USD)</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4271DE4" w14:textId="77777777" w:rsidR="007B7835" w:rsidRDefault="00000000">
            <w:r>
              <w:rPr>
                <w:rFonts w:eastAsia="Times New Roman"/>
                <w:i/>
                <w:iCs/>
              </w:rPr>
              <w:t>$50,000</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BB2922A" w14:textId="77777777" w:rsidR="007B7835" w:rsidRDefault="00000000">
            <w:r>
              <w:rPr>
                <w:rFonts w:eastAsia="Times New Roman"/>
              </w:rPr>
              <w:t>Invoice value</w:t>
            </w:r>
          </w:p>
        </w:tc>
      </w:tr>
      <w:tr w:rsidR="007B7835" w14:paraId="3EE45EB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9B2D892" w14:textId="77777777" w:rsidR="007B7835" w:rsidRDefault="00000000">
            <w:r>
              <w:rPr>
                <w:rFonts w:eastAsia="Times New Roman"/>
              </w:rPr>
              <w:t>Cumulative Qty Used</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D2B641B" w14:textId="77777777" w:rsidR="007B7835" w:rsidRDefault="00000000">
            <w:r>
              <w:rPr>
                <w:rFonts w:eastAsia="Times New Roman"/>
                <w:i/>
                <w:iCs/>
              </w:rPr>
              <w:t>55 of 100 units</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4AC3E71" w14:textId="77777777" w:rsidR="007B7835" w:rsidRDefault="00000000">
            <w:r>
              <w:rPr>
                <w:rFonts w:eastAsia="Times New Roman"/>
              </w:rPr>
              <w:t>Running total</w:t>
            </w:r>
          </w:p>
        </w:tc>
      </w:tr>
      <w:tr w:rsidR="007B7835" w14:paraId="7987F5C5"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A11D736" w14:textId="77777777" w:rsidR="007B7835" w:rsidRDefault="00000000">
            <w:r>
              <w:rPr>
                <w:rFonts w:eastAsia="Times New Roman"/>
              </w:rPr>
              <w:t>Cumulative Value Used</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97A18D1" w14:textId="77777777" w:rsidR="007B7835" w:rsidRDefault="00000000">
            <w:r>
              <w:rPr>
                <w:rFonts w:eastAsia="Times New Roman"/>
                <w:i/>
                <w:iCs/>
              </w:rPr>
              <w:t>$275,000 of $500,000</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C1700D6" w14:textId="77777777" w:rsidR="007B7835" w:rsidRDefault="00000000">
            <w:r>
              <w:rPr>
                <w:rFonts w:eastAsia="Times New Roman"/>
              </w:rPr>
              <w:t>Running total</w:t>
            </w:r>
          </w:p>
        </w:tc>
      </w:tr>
      <w:tr w:rsidR="007B7835" w14:paraId="1F36B42E"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FEC7336" w14:textId="77777777" w:rsidR="007B7835" w:rsidRDefault="00000000">
            <w:r>
              <w:rPr>
                <w:rFonts w:eastAsia="Times New Roman"/>
              </w:rPr>
              <w:t>AES ITN</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D0CC724" w14:textId="77777777" w:rsidR="007B7835" w:rsidRDefault="00000000">
            <w:r>
              <w:rPr>
                <w:rFonts w:eastAsia="Times New Roman"/>
                <w:i/>
                <w:iCs/>
              </w:rPr>
              <w:t>X20250615123456</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E4098E7" w14:textId="77777777" w:rsidR="007B7835" w:rsidRDefault="00000000">
            <w:r>
              <w:rPr>
                <w:rFonts w:eastAsia="Times New Roman"/>
              </w:rPr>
              <w:t>Filed in AES with license number</w:t>
            </w:r>
          </w:p>
        </w:tc>
      </w:tr>
      <w:tr w:rsidR="007B7835" w14:paraId="2D027CDA"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0AB0F85" w14:textId="77777777" w:rsidR="007B7835" w:rsidRDefault="00000000">
            <w:r>
              <w:rPr>
                <w:rFonts w:eastAsia="Times New Roman"/>
              </w:rPr>
              <w:t>DCS Confirmed</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D7F2DBF" w14:textId="77777777" w:rsidR="007B7835" w:rsidRDefault="00000000">
            <w:r>
              <w:rPr>
                <w:rFonts w:eastAsia="Times New Roman"/>
                <w:i/>
                <w:iCs/>
              </w:rPr>
              <w:t>Yes</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30AB65A" w14:textId="77777777" w:rsidR="007B7835" w:rsidRDefault="00000000">
            <w:r>
              <w:rPr>
                <w:rFonts w:eastAsia="Times New Roman"/>
              </w:rPr>
              <w:t>On invoice and AWB</w:t>
            </w:r>
          </w:p>
        </w:tc>
      </w:tr>
      <w:tr w:rsidR="007B7835" w14:paraId="6995F394"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37C8F16" w14:textId="77777777" w:rsidR="007B7835" w:rsidRDefault="00000000">
            <w:r>
              <w:rPr>
                <w:rFonts w:eastAsia="Times New Roman"/>
              </w:rPr>
              <w:t>ECO Authorization</w:t>
            </w:r>
          </w:p>
        </w:tc>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C8A1B4D" w14:textId="77777777" w:rsidR="007B7835" w:rsidRDefault="00000000">
            <w:r>
              <w:rPr>
                <w:rFonts w:eastAsia="Times New Roman"/>
                <w:i/>
                <w:iCs/>
              </w:rPr>
              <w:t>[Initials / Date]</w:t>
            </w:r>
          </w:p>
        </w:tc>
        <w:tc>
          <w:tcPr>
            <w:tcW w:w="4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94650C9" w14:textId="77777777" w:rsidR="007B7835" w:rsidRDefault="00000000">
            <w:r>
              <w:rPr>
                <w:rFonts w:eastAsia="Times New Roman"/>
              </w:rPr>
              <w:t>Pre-shipment sign-off</w:t>
            </w:r>
          </w:p>
        </w:tc>
      </w:tr>
    </w:tbl>
    <w:p w14:paraId="38AE5653" w14:textId="77777777" w:rsidR="007B7835" w:rsidRDefault="007B7835">
      <w:pPr>
        <w:spacing w:after="100"/>
      </w:pPr>
    </w:p>
    <w:p w14:paraId="133274AA" w14:textId="2C7142E1" w:rsidR="007B7835" w:rsidRDefault="004E4BF8">
      <w:pPr>
        <w:spacing w:before="180" w:after="80"/>
      </w:pPr>
      <w:r>
        <w:rPr>
          <w:b/>
          <w:bCs/>
          <w:sz w:val="22"/>
          <w:szCs w:val="22"/>
          <w:u w:val="single"/>
        </w:rPr>
        <w:t>5.3 Shipment</w:t>
      </w:r>
      <w:r w:rsidR="00000000">
        <w:rPr>
          <w:rFonts w:eastAsia="Times New Roman"/>
          <w:b/>
          <w:bCs/>
          <w:sz w:val="22"/>
          <w:szCs w:val="22"/>
          <w:u w:val="single"/>
        </w:rPr>
        <w:t xml:space="preserve"> Documentation Requirements</w:t>
      </w:r>
    </w:p>
    <w:p w14:paraId="11B24E51"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Destination Control Statement (DCS): Every invoice, airway bill, and bill of lading must include the EAR DCS (15 CFR § 758.6) and/or ITAR license citation (22 CFR § 123.9(b)) referencing the license number.</w:t>
      </w:r>
    </w:p>
    <w:p w14:paraId="00732184"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AES / EEI Filing: The license number must be cited as the license code in the AES filing.  The ITN must be obtained and recorded before goods are released.</w:t>
      </w:r>
    </w:p>
    <w:p w14:paraId="5BD97F3F"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Proviso Compliance Records: Any proviso-required reports, prior approvals, or acknowledgments must be completed and filed before or at the time of shipment, as required by the license.</w:t>
      </w:r>
    </w:p>
    <w:p w14:paraId="41F379DE" w14:textId="77777777" w:rsidR="007B7835" w:rsidRDefault="007B7835">
      <w:pPr>
        <w:spacing w:after="200"/>
      </w:pPr>
    </w:p>
    <w:p w14:paraId="349700C2"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17DAF25A"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2004D46A" w14:textId="77777777" w:rsidR="007B7835" w:rsidRDefault="00000000">
            <w:pPr>
              <w:jc w:val="center"/>
            </w:pPr>
            <w:r>
              <w:rPr>
                <w:rFonts w:eastAsia="Times New Roman"/>
                <w:b/>
                <w:bCs/>
                <w:color w:val="FFFFFF"/>
                <w:sz w:val="22"/>
                <w:szCs w:val="22"/>
              </w:rPr>
              <w:t>§ 6</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7455BA5A" w14:textId="77777777" w:rsidR="007B7835" w:rsidRDefault="00000000">
            <w:r>
              <w:rPr>
                <w:rFonts w:eastAsia="Times New Roman"/>
                <w:b/>
                <w:bCs/>
                <w:color w:val="FFFFFF"/>
                <w:sz w:val="22"/>
                <w:szCs w:val="22"/>
              </w:rPr>
              <w:t>EXPIRATION MONITORING, RENEWAL, AND AMENDMENT</w:t>
            </w:r>
          </w:p>
        </w:tc>
      </w:tr>
    </w:tbl>
    <w:p w14:paraId="459030A6" w14:textId="77777777" w:rsidR="007B7835" w:rsidRDefault="007B7835">
      <w:pPr>
        <w:spacing w:after="100"/>
      </w:pPr>
    </w:p>
    <w:p w14:paraId="47A734DC" w14:textId="248E0633" w:rsidR="007B7835" w:rsidRDefault="004E4BF8">
      <w:pPr>
        <w:spacing w:before="180" w:after="80"/>
      </w:pPr>
      <w:r>
        <w:rPr>
          <w:b/>
          <w:bCs/>
          <w:sz w:val="22"/>
          <w:szCs w:val="22"/>
          <w:u w:val="single"/>
        </w:rPr>
        <w:t>6.1 Expiration</w:t>
      </w:r>
      <w:r w:rsidR="00000000">
        <w:rPr>
          <w:rFonts w:eastAsia="Times New Roman"/>
          <w:b/>
          <w:bCs/>
          <w:sz w:val="22"/>
          <w:szCs w:val="22"/>
          <w:u w:val="single"/>
        </w:rPr>
        <w:t xml:space="preserve"> Alerts</w:t>
      </w:r>
    </w:p>
    <w:p w14:paraId="74A3AC9E" w14:textId="77777777" w:rsidR="007B7835" w:rsidRDefault="00000000">
      <w:pPr>
        <w:spacing w:after="120"/>
      </w:pPr>
      <w:r>
        <w:rPr>
          <w:rFonts w:eastAsia="Times New Roman"/>
          <w:sz w:val="22"/>
          <w:szCs w:val="22"/>
        </w:rPr>
        <w:t>The ECO maintains automated or manual calendar reminders for all active licenses at the following intervals before expiration:</w:t>
      </w:r>
    </w:p>
    <w:p w14:paraId="46221B4A"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7B7835" w14:paraId="715684E0"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57DC352" w14:textId="77777777" w:rsidR="007B7835" w:rsidRDefault="00000000">
            <w:r>
              <w:rPr>
                <w:rFonts w:eastAsia="Times New Roman"/>
                <w:b/>
                <w:bCs/>
                <w:sz w:val="22"/>
                <w:szCs w:val="22"/>
              </w:rPr>
              <w:t>90 days before expiry</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4BAE7AB" w14:textId="77777777" w:rsidR="007B7835" w:rsidRDefault="00000000">
            <w:r>
              <w:rPr>
                <w:rFonts w:eastAsia="Times New Roman"/>
                <w:sz w:val="22"/>
                <w:szCs w:val="22"/>
              </w:rPr>
              <w:t>ECO reviews remaining authorized balance and open orders.  If renewal or amendment is needed, initiates application process.</w:t>
            </w:r>
          </w:p>
        </w:tc>
      </w:tr>
      <w:tr w:rsidR="007B7835" w14:paraId="477CDAC8"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F348BF3" w14:textId="77777777" w:rsidR="007B7835" w:rsidRDefault="00000000">
            <w:r>
              <w:rPr>
                <w:rFonts w:eastAsia="Times New Roman"/>
                <w:b/>
                <w:bCs/>
                <w:sz w:val="22"/>
                <w:szCs w:val="22"/>
              </w:rPr>
              <w:lastRenderedPageBreak/>
              <w:t>60 days before expiry</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DE9A572" w14:textId="77777777" w:rsidR="007B7835" w:rsidRDefault="00000000">
            <w:r>
              <w:rPr>
                <w:rFonts w:eastAsia="Times New Roman"/>
                <w:sz w:val="22"/>
                <w:szCs w:val="22"/>
              </w:rPr>
              <w:t>ECO notifies sales and logistics of upcoming expiration.  No new commitments under the license for deliveries after expiration without confirmed renewal.</w:t>
            </w:r>
          </w:p>
        </w:tc>
      </w:tr>
      <w:tr w:rsidR="007B7835" w14:paraId="3BA08611"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BE218BA" w14:textId="77777777" w:rsidR="007B7835" w:rsidRDefault="00000000">
            <w:r>
              <w:rPr>
                <w:rFonts w:eastAsia="Times New Roman"/>
                <w:b/>
                <w:bCs/>
                <w:sz w:val="22"/>
                <w:szCs w:val="22"/>
              </w:rPr>
              <w:t>30 days before expiry</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BDB6AE4" w14:textId="77777777" w:rsidR="007B7835" w:rsidRDefault="00000000">
            <w:r>
              <w:rPr>
                <w:rFonts w:eastAsia="Times New Roman"/>
                <w:sz w:val="22"/>
                <w:szCs w:val="22"/>
              </w:rPr>
              <w:t>Renewal or amendment application must be filed (if not already done).  ECO escalates to EO if renewal has not been initiated.</w:t>
            </w:r>
          </w:p>
        </w:tc>
      </w:tr>
      <w:tr w:rsidR="007B7835" w14:paraId="5213F351"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84420D5" w14:textId="77777777" w:rsidR="007B7835" w:rsidRDefault="00000000">
            <w:r>
              <w:rPr>
                <w:rFonts w:eastAsia="Times New Roman"/>
                <w:b/>
                <w:bCs/>
                <w:sz w:val="22"/>
                <w:szCs w:val="22"/>
              </w:rPr>
              <w:t>On expiry</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8AC3904" w14:textId="77777777" w:rsidR="007B7835" w:rsidRDefault="00000000">
            <w:r>
              <w:rPr>
                <w:rFonts w:eastAsia="Times New Roman"/>
                <w:sz w:val="22"/>
                <w:szCs w:val="22"/>
              </w:rPr>
              <w:t>License is immediately deactivated in the License Register.  No further shipments may be made.  Goods in transit under a valid pre-expiry shipment may complete delivery per applicable rules.</w:t>
            </w:r>
          </w:p>
        </w:tc>
      </w:tr>
    </w:tbl>
    <w:p w14:paraId="626A5259" w14:textId="77777777" w:rsidR="007B7835" w:rsidRDefault="007B7835">
      <w:pPr>
        <w:spacing w:after="100"/>
      </w:pPr>
    </w:p>
    <w:p w14:paraId="23E61E10" w14:textId="00EFC954" w:rsidR="007B7835" w:rsidRDefault="004E4BF8">
      <w:pPr>
        <w:spacing w:before="180" w:after="80"/>
      </w:pPr>
      <w:r>
        <w:rPr>
          <w:b/>
          <w:bCs/>
          <w:sz w:val="22"/>
          <w:szCs w:val="22"/>
          <w:u w:val="single"/>
        </w:rPr>
        <w:t>6.2 Renewal</w:t>
      </w:r>
    </w:p>
    <w:p w14:paraId="4E1C1DB5"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EAR licenses may be renewed by filing a new application in SNAP-R before the current license expires.  The License Register entry is updated with the new license number upon receipt.</w:t>
      </w:r>
    </w:p>
    <w:p w14:paraId="27AC970D"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ITAR licenses are renewed via DECCS.  For TAAs and MLAs, review the agreement terms — some auto-renew, others require amendment or re-application.</w:t>
      </w:r>
    </w:p>
    <w:p w14:paraId="232B8F96"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License renewals do not carry over unused quantities from the expired license unless the new license expressly authorizes the additional quantity.</w:t>
      </w:r>
    </w:p>
    <w:p w14:paraId="59303A5E" w14:textId="77777777" w:rsidR="007B7835" w:rsidRDefault="007B7835">
      <w:pPr>
        <w:spacing w:after="100"/>
      </w:pPr>
    </w:p>
    <w:p w14:paraId="2A3C0FED" w14:textId="6FB12EA2" w:rsidR="007B7835" w:rsidRDefault="004E4BF8">
      <w:pPr>
        <w:spacing w:before="180" w:after="80"/>
      </w:pPr>
      <w:r>
        <w:rPr>
          <w:b/>
          <w:bCs/>
          <w:sz w:val="22"/>
          <w:szCs w:val="22"/>
          <w:u w:val="single"/>
        </w:rPr>
        <w:t>6.3 Amendment</w:t>
      </w:r>
    </w:p>
    <w:p w14:paraId="5D3BC087"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Amendments to BIS licenses are filed via SNAP-R (for value, quantity, end-user, or commodity changes).</w:t>
      </w:r>
    </w:p>
    <w:p w14:paraId="5855D52E"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Amendments to DDTC licenses and agreements are filed via DECCS.  Material changes (new parties, new items, increased value) require prior DDTC approval.</w:t>
      </w:r>
    </w:p>
    <w:p w14:paraId="6FE03341"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The ECO documents the reason for the amendment, the specific changes requested, and the EO's approval in the License Register and the compliance file.</w:t>
      </w:r>
    </w:p>
    <w:p w14:paraId="071B33E3"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No shipments relying on the amended parameters may proceed until the amendment is approved.</w:t>
      </w:r>
    </w:p>
    <w:p w14:paraId="39A234E7" w14:textId="77777777" w:rsidR="007B7835" w:rsidRDefault="007B7835">
      <w:pPr>
        <w:spacing w:after="200"/>
      </w:pPr>
    </w:p>
    <w:p w14:paraId="1ED4468E"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6B8BED01"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50A377BF" w14:textId="77777777" w:rsidR="007B7835" w:rsidRDefault="00000000">
            <w:pPr>
              <w:jc w:val="center"/>
            </w:pPr>
            <w:r>
              <w:rPr>
                <w:rFonts w:eastAsia="Times New Roman"/>
                <w:b/>
                <w:bCs/>
                <w:color w:val="FFFFFF"/>
                <w:sz w:val="22"/>
                <w:szCs w:val="22"/>
              </w:rPr>
              <w:t>§ 7</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2A35C323" w14:textId="77777777" w:rsidR="007B7835" w:rsidRDefault="00000000">
            <w:r>
              <w:rPr>
                <w:rFonts w:eastAsia="Times New Roman"/>
                <w:b/>
                <w:bCs/>
                <w:color w:val="FFFFFF"/>
                <w:sz w:val="22"/>
                <w:szCs w:val="22"/>
              </w:rPr>
              <w:t>PROVISO AND CONDITION COMPLIANCE</w:t>
            </w:r>
          </w:p>
        </w:tc>
      </w:tr>
    </w:tbl>
    <w:p w14:paraId="721030A7" w14:textId="77777777" w:rsidR="007B7835" w:rsidRDefault="007B7835">
      <w:pPr>
        <w:spacing w:after="100"/>
      </w:pPr>
    </w:p>
    <w:p w14:paraId="72276915" w14:textId="50A6016C" w:rsidR="007B7835" w:rsidRDefault="004E4BF8">
      <w:pPr>
        <w:spacing w:after="120"/>
      </w:pPr>
      <w:r>
        <w:rPr>
          <w:sz w:val="22"/>
          <w:szCs w:val="22"/>
        </w:rPr>
        <w:t>7.1 Every</w:t>
      </w:r>
      <w:r w:rsidR="00000000">
        <w:rPr>
          <w:rFonts w:eastAsia="Times New Roman"/>
          <w:sz w:val="22"/>
          <w:szCs w:val="22"/>
        </w:rPr>
        <w:t xml:space="preserve"> license and authorization may contain specific provisos (conditions).  Failure to comply with a proviso is itself a violation of the license and applicable export control law.  The ECO is responsible for ensuring all proviso obligations are tracked and satisfied.</w:t>
      </w:r>
    </w:p>
    <w:p w14:paraId="6CF7328D" w14:textId="77777777" w:rsidR="007B7835" w:rsidRDefault="007B7835">
      <w:pPr>
        <w:spacing w:after="100"/>
      </w:pPr>
    </w:p>
    <w:p w14:paraId="625B4907" w14:textId="62EC053F" w:rsidR="007B7835" w:rsidRDefault="004E4BF8">
      <w:pPr>
        <w:spacing w:after="120"/>
      </w:pPr>
      <w:r>
        <w:rPr>
          <w:sz w:val="22"/>
          <w:szCs w:val="22"/>
        </w:rPr>
        <w:t>7.2 Common</w:t>
      </w:r>
      <w:r w:rsidR="00000000">
        <w:rPr>
          <w:rFonts w:eastAsia="Times New Roman"/>
          <w:sz w:val="22"/>
          <w:szCs w:val="22"/>
        </w:rPr>
        <w:t xml:space="preserve"> proviso types and required actions:</w:t>
      </w:r>
    </w:p>
    <w:p w14:paraId="630D6A7B"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7B7835" w14:paraId="33872215"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4BAE1D4" w14:textId="77777777" w:rsidR="007B7835" w:rsidRDefault="00000000">
            <w:r>
              <w:rPr>
                <w:rFonts w:eastAsia="Times New Roman"/>
                <w:b/>
                <w:bCs/>
                <w:sz w:val="22"/>
                <w:szCs w:val="22"/>
              </w:rPr>
              <w:t>Destination Control Statement</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0764021" w14:textId="77777777" w:rsidR="007B7835" w:rsidRDefault="00000000">
            <w:r>
              <w:rPr>
                <w:rFonts w:eastAsia="Times New Roman"/>
                <w:sz w:val="22"/>
                <w:szCs w:val="22"/>
              </w:rPr>
              <w:t>Cite license number on all invoices and bills of lading.  Verify with Logistics before each shipment.</w:t>
            </w:r>
          </w:p>
        </w:tc>
      </w:tr>
      <w:tr w:rsidR="007B7835" w14:paraId="5C5322F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2334F47" w14:textId="77777777" w:rsidR="007B7835" w:rsidRDefault="00000000">
            <w:r>
              <w:rPr>
                <w:rFonts w:eastAsia="Times New Roman"/>
                <w:b/>
                <w:bCs/>
                <w:sz w:val="22"/>
                <w:szCs w:val="22"/>
              </w:rPr>
              <w:t>Re-export Restriction</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57533DA" w14:textId="77777777" w:rsidR="007B7835" w:rsidRDefault="00000000">
            <w:r>
              <w:rPr>
                <w:rFonts w:eastAsia="Times New Roman"/>
                <w:sz w:val="22"/>
                <w:szCs w:val="22"/>
              </w:rPr>
              <w:t>Consignee may not re-export without separate BIS/DDTC approval.  End-User Statement must include this restriction.  Use 29-End-User License Condition Acknowledgment.</w:t>
            </w:r>
          </w:p>
        </w:tc>
      </w:tr>
      <w:tr w:rsidR="007B7835" w14:paraId="4DD65DE6"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C711F5D" w14:textId="77777777" w:rsidR="007B7835" w:rsidRDefault="00000000">
            <w:r>
              <w:rPr>
                <w:rFonts w:eastAsia="Times New Roman"/>
                <w:b/>
                <w:bCs/>
                <w:sz w:val="22"/>
                <w:szCs w:val="22"/>
              </w:rPr>
              <w:t>End-Use Certificate</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ACD377C" w14:textId="77777777" w:rsidR="007B7835" w:rsidRDefault="00000000">
            <w:r>
              <w:rPr>
                <w:rFonts w:eastAsia="Times New Roman"/>
                <w:sz w:val="22"/>
                <w:szCs w:val="22"/>
              </w:rPr>
              <w:t>Obtain signed End-User Statement before first shipment.  File original; provide copy to consignee.  Retain for 5 years.</w:t>
            </w:r>
          </w:p>
        </w:tc>
      </w:tr>
      <w:tr w:rsidR="007B7835" w14:paraId="387D8498"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3DD0FD4" w14:textId="77777777" w:rsidR="007B7835" w:rsidRDefault="00000000">
            <w:r>
              <w:rPr>
                <w:rFonts w:eastAsia="Times New Roman"/>
                <w:b/>
                <w:bCs/>
                <w:sz w:val="22"/>
                <w:szCs w:val="22"/>
              </w:rPr>
              <w:lastRenderedPageBreak/>
              <w:t>Semi-Annual / Annual Report</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2B51899" w14:textId="77777777" w:rsidR="007B7835" w:rsidRDefault="00000000">
            <w:r>
              <w:rPr>
                <w:rFonts w:eastAsia="Times New Roman"/>
                <w:sz w:val="22"/>
                <w:szCs w:val="22"/>
              </w:rPr>
              <w:t>Schedule in compliance calendar.  Submit to BIS/DDTC by required date.  Record submission date and confirmation in License Register.</w:t>
            </w:r>
          </w:p>
        </w:tc>
      </w:tr>
      <w:tr w:rsidR="007B7835" w14:paraId="75C2B6B3"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2547AFC" w14:textId="77777777" w:rsidR="007B7835" w:rsidRDefault="00000000">
            <w:r>
              <w:rPr>
                <w:rFonts w:eastAsia="Times New Roman"/>
                <w:b/>
                <w:bCs/>
                <w:sz w:val="22"/>
                <w:szCs w:val="22"/>
              </w:rPr>
              <w:t xml:space="preserve">Prior Approval </w:t>
            </w:r>
            <w:proofErr w:type="gramStart"/>
            <w:r>
              <w:rPr>
                <w:rFonts w:eastAsia="Times New Roman"/>
                <w:b/>
                <w:bCs/>
                <w:sz w:val="22"/>
                <w:szCs w:val="22"/>
              </w:rPr>
              <w:t>for</w:t>
            </w:r>
            <w:proofErr w:type="gramEnd"/>
            <w:r>
              <w:rPr>
                <w:rFonts w:eastAsia="Times New Roman"/>
                <w:b/>
                <w:bCs/>
                <w:sz w:val="22"/>
                <w:szCs w:val="22"/>
              </w:rPr>
              <w:t xml:space="preserve"> Re-export</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DFEDF20" w14:textId="77777777" w:rsidR="007B7835" w:rsidRDefault="00000000">
            <w:r>
              <w:rPr>
                <w:rFonts w:eastAsia="Times New Roman"/>
                <w:sz w:val="22"/>
                <w:szCs w:val="22"/>
              </w:rPr>
              <w:t>Consignee must obtain BIS/DDTC written approval before any re-export.  Advise consignee at time of shipment.  Document in Proviso Tracking Log.</w:t>
            </w:r>
          </w:p>
        </w:tc>
      </w:tr>
      <w:tr w:rsidR="007B7835" w14:paraId="17500474"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9E7D655" w14:textId="77777777" w:rsidR="007B7835" w:rsidRDefault="00000000">
            <w:r>
              <w:rPr>
                <w:rFonts w:eastAsia="Times New Roman"/>
                <w:b/>
                <w:bCs/>
                <w:sz w:val="22"/>
                <w:szCs w:val="22"/>
              </w:rPr>
              <w:t>Part 130 Reporting (ITAR/SME)</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164488" w14:textId="77777777" w:rsidR="007B7835" w:rsidRDefault="00000000">
            <w:r>
              <w:rPr>
                <w:rFonts w:eastAsia="Times New Roman"/>
                <w:sz w:val="22"/>
                <w:szCs w:val="22"/>
              </w:rPr>
              <w:t>File Part 130 report (23-Part 130 Statement) at required milestone.  Record in License Register.</w:t>
            </w:r>
          </w:p>
        </w:tc>
      </w:tr>
      <w:tr w:rsidR="007B7835" w14:paraId="07EFC938"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3C790F5" w14:textId="77777777" w:rsidR="007B7835" w:rsidRDefault="00000000">
            <w:r>
              <w:rPr>
                <w:rFonts w:eastAsia="Times New Roman"/>
                <w:b/>
                <w:bCs/>
                <w:sz w:val="22"/>
                <w:szCs w:val="22"/>
              </w:rPr>
              <w:t>Post-Shipment Verification</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A10F765" w14:textId="77777777" w:rsidR="007B7835" w:rsidRDefault="00000000">
            <w:r>
              <w:rPr>
                <w:rFonts w:eastAsia="Times New Roman"/>
                <w:sz w:val="22"/>
                <w:szCs w:val="22"/>
              </w:rPr>
              <w:t>Cooperate fully with any BIS or DDTC post-shipment verification (PSV).  Notify ECO and EO immediately upon PSV notice.</w:t>
            </w:r>
          </w:p>
        </w:tc>
      </w:tr>
      <w:tr w:rsidR="007B7835" w14:paraId="74B0011B"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5070F8F" w14:textId="77777777" w:rsidR="007B7835" w:rsidRDefault="00000000">
            <w:r>
              <w:rPr>
                <w:rFonts w:eastAsia="Times New Roman"/>
                <w:b/>
                <w:bCs/>
                <w:sz w:val="22"/>
                <w:szCs w:val="22"/>
              </w:rPr>
              <w:t>Other Provisos</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AECACDA" w14:textId="77777777" w:rsidR="007B7835" w:rsidRDefault="00000000">
            <w:r>
              <w:rPr>
                <w:rFonts w:eastAsia="Times New Roman"/>
                <w:sz w:val="22"/>
                <w:szCs w:val="22"/>
              </w:rPr>
              <w:t>Document in Proviso Tracking Log (30-Proviso Tracking Log).  Set calendar reminders for any deadline-based obligations.</w:t>
            </w:r>
          </w:p>
        </w:tc>
      </w:tr>
    </w:tbl>
    <w:p w14:paraId="1F2767D0" w14:textId="77777777" w:rsidR="007B7835" w:rsidRDefault="007B7835">
      <w:pPr>
        <w:spacing w:after="100"/>
      </w:pPr>
    </w:p>
    <w:p w14:paraId="45C66BE8" w14:textId="6A355E19" w:rsidR="007B7835" w:rsidRDefault="004E4BF8">
      <w:pPr>
        <w:spacing w:after="120"/>
      </w:pPr>
      <w:r>
        <w:rPr>
          <w:sz w:val="22"/>
          <w:szCs w:val="22"/>
        </w:rPr>
        <w:t>7.3 The</w:t>
      </w:r>
      <w:r w:rsidR="00000000">
        <w:rPr>
          <w:rFonts w:eastAsia="Times New Roman"/>
          <w:sz w:val="22"/>
          <w:szCs w:val="22"/>
        </w:rPr>
        <w:t xml:space="preserve"> Proviso Tracking Log (30-Proviso Tracking Log) is used for all licenses with more than two proviso obligations or any proviso with a reporting deadline.  The ECO reviews the Proviso Tracking Log monthly.</w:t>
      </w:r>
    </w:p>
    <w:p w14:paraId="682678D9" w14:textId="77777777" w:rsidR="007B7835" w:rsidRDefault="007B7835">
      <w:pPr>
        <w:spacing w:after="200"/>
      </w:pPr>
    </w:p>
    <w:p w14:paraId="26F7074F"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45A7FA0C"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6DE01972" w14:textId="77777777" w:rsidR="007B7835" w:rsidRDefault="00000000">
            <w:pPr>
              <w:jc w:val="center"/>
            </w:pPr>
            <w:r>
              <w:rPr>
                <w:rFonts w:eastAsia="Times New Roman"/>
                <w:b/>
                <w:bCs/>
                <w:color w:val="FFFFFF"/>
                <w:sz w:val="22"/>
                <w:szCs w:val="22"/>
              </w:rPr>
              <w:t>§ 8</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493D09A6" w14:textId="77777777" w:rsidR="007B7835" w:rsidRDefault="00000000">
            <w:r>
              <w:rPr>
                <w:rFonts w:eastAsia="Times New Roman"/>
                <w:b/>
                <w:bCs/>
                <w:color w:val="FFFFFF"/>
                <w:sz w:val="22"/>
                <w:szCs w:val="22"/>
              </w:rPr>
              <w:t>RECORDKEEPING</w:t>
            </w:r>
          </w:p>
        </w:tc>
      </w:tr>
    </w:tbl>
    <w:p w14:paraId="583088E8" w14:textId="77777777" w:rsidR="007B7835" w:rsidRDefault="007B7835">
      <w:pPr>
        <w:spacing w:after="100"/>
      </w:pPr>
    </w:p>
    <w:p w14:paraId="5901115C" w14:textId="56B1CBC3" w:rsidR="007B7835" w:rsidRDefault="004E4BF8">
      <w:pPr>
        <w:spacing w:after="120"/>
      </w:pPr>
      <w:r>
        <w:rPr>
          <w:sz w:val="22"/>
          <w:szCs w:val="22"/>
        </w:rPr>
        <w:t>8.1 The</w:t>
      </w:r>
      <w:r w:rsidR="00000000">
        <w:rPr>
          <w:rFonts w:eastAsia="Times New Roman"/>
          <w:sz w:val="22"/>
          <w:szCs w:val="22"/>
        </w:rPr>
        <w:t xml:space="preserve"> Company retains all license-related records for a minimum of five (5) years from the date of the last export under each license, or five (5) years from the expiration date of the license, whichever is later.</w:t>
      </w:r>
    </w:p>
    <w:p w14:paraId="1903D18A" w14:textId="77777777" w:rsidR="007B7835" w:rsidRDefault="007B7835">
      <w:pPr>
        <w:spacing w:after="80"/>
      </w:pPr>
    </w:p>
    <w:p w14:paraId="428A49D0" w14:textId="03DD3781" w:rsidR="007B7835" w:rsidRDefault="004E4BF8">
      <w:pPr>
        <w:spacing w:after="120"/>
      </w:pPr>
      <w:r>
        <w:rPr>
          <w:sz w:val="22"/>
          <w:szCs w:val="22"/>
        </w:rPr>
        <w:t>8.2 Records</w:t>
      </w:r>
      <w:r w:rsidR="00000000">
        <w:rPr>
          <w:rFonts w:eastAsia="Times New Roman"/>
          <w:sz w:val="22"/>
          <w:szCs w:val="22"/>
        </w:rPr>
        <w:t xml:space="preserve"> to be retained include:</w:t>
      </w:r>
    </w:p>
    <w:p w14:paraId="4E3E909F"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The original license and any amendments</w:t>
      </w:r>
    </w:p>
    <w:p w14:paraId="513EF85B"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License application and all supporting documents submitted to BIS or DDTC</w:t>
      </w:r>
    </w:p>
    <w:p w14:paraId="77CA97AB"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Proviso compliance records (End-User Statements, reports, prior approvals)</w:t>
      </w:r>
    </w:p>
    <w:p w14:paraId="32296871"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Shipment log and all associated export documentation (invoices, airway bills, AES ITNs, DCS)</w:t>
      </w:r>
    </w:p>
    <w:p w14:paraId="7998917C"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Restricted party screening records for each shipment</w:t>
      </w:r>
    </w:p>
    <w:p w14:paraId="6D124B77"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End-User Statements and Blanket End-User Statements</w:t>
      </w:r>
    </w:p>
    <w:p w14:paraId="71E5F329"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Internal review and authorization records (signed off 24-Export Compliance Checklists)</w:t>
      </w:r>
    </w:p>
    <w:p w14:paraId="1DAE717E" w14:textId="77777777" w:rsidR="007B7835" w:rsidRDefault="007B7835">
      <w:pPr>
        <w:spacing w:after="80"/>
      </w:pPr>
    </w:p>
    <w:p w14:paraId="4844C384" w14:textId="1AAAED1B" w:rsidR="007B7835" w:rsidRDefault="004E4BF8">
      <w:pPr>
        <w:spacing w:after="120"/>
      </w:pPr>
      <w:r>
        <w:rPr>
          <w:sz w:val="22"/>
          <w:szCs w:val="22"/>
        </w:rPr>
        <w:t>8.3 Records</w:t>
      </w:r>
      <w:r w:rsidR="00000000">
        <w:rPr>
          <w:rFonts w:eastAsia="Times New Roman"/>
          <w:sz w:val="22"/>
          <w:szCs w:val="22"/>
        </w:rPr>
        <w:t xml:space="preserve"> may be retained in electronic form, provided the electronic system meets the requirements of 15 CFR § 762.6 (EAR) and 22 CFR § 122.5 (ITAR): records must be readily producible in a usable and legible form upon request, and the system must have adequate backup and audit trail capability.</w:t>
      </w:r>
    </w:p>
    <w:p w14:paraId="110D8981" w14:textId="77777777" w:rsidR="007B7835" w:rsidRDefault="007B7835">
      <w:pPr>
        <w:spacing w:after="200"/>
      </w:pPr>
    </w:p>
    <w:p w14:paraId="4F60D894"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44E934B7"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516180E1" w14:textId="77777777" w:rsidR="007B7835" w:rsidRDefault="00000000">
            <w:pPr>
              <w:jc w:val="center"/>
            </w:pPr>
            <w:r>
              <w:rPr>
                <w:rFonts w:eastAsia="Times New Roman"/>
                <w:b/>
                <w:bCs/>
                <w:color w:val="FFFFFF"/>
                <w:sz w:val="22"/>
                <w:szCs w:val="22"/>
              </w:rPr>
              <w:t>§ 9</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249A0CC9" w14:textId="77777777" w:rsidR="007B7835" w:rsidRDefault="00000000">
            <w:r>
              <w:rPr>
                <w:rFonts w:eastAsia="Times New Roman"/>
                <w:b/>
                <w:bCs/>
                <w:color w:val="FFFFFF"/>
                <w:sz w:val="22"/>
                <w:szCs w:val="22"/>
              </w:rPr>
              <w:t>TRAINING</w:t>
            </w:r>
          </w:p>
        </w:tc>
      </w:tr>
    </w:tbl>
    <w:p w14:paraId="41982513" w14:textId="77777777" w:rsidR="007B7835" w:rsidRDefault="007B7835">
      <w:pPr>
        <w:spacing w:after="100"/>
      </w:pPr>
    </w:p>
    <w:p w14:paraId="04D32685" w14:textId="64ADCC68" w:rsidR="007B7835" w:rsidRDefault="004E4BF8">
      <w:pPr>
        <w:spacing w:after="120"/>
      </w:pPr>
      <w:r>
        <w:rPr>
          <w:sz w:val="22"/>
          <w:szCs w:val="22"/>
        </w:rPr>
        <w:t>9.1 All</w:t>
      </w:r>
      <w:r w:rsidR="00000000">
        <w:rPr>
          <w:rFonts w:eastAsia="Times New Roman"/>
          <w:sz w:val="22"/>
          <w:szCs w:val="22"/>
        </w:rPr>
        <w:t xml:space="preserve"> personnel with responsibilities under this Plan — including Sales, Logistics, Finance, Engineering, and Export Compliance — must receive training on license administration before being assigned license-related responsibilities and at least annually thereafter.</w:t>
      </w:r>
    </w:p>
    <w:p w14:paraId="33795CE9" w14:textId="77777777" w:rsidR="007B7835" w:rsidRDefault="007B7835">
      <w:pPr>
        <w:spacing w:after="80"/>
      </w:pPr>
    </w:p>
    <w:p w14:paraId="51EE3102" w14:textId="428A64CE" w:rsidR="007B7835" w:rsidRDefault="004E4BF8">
      <w:pPr>
        <w:spacing w:after="120"/>
      </w:pPr>
      <w:r>
        <w:rPr>
          <w:sz w:val="22"/>
          <w:szCs w:val="22"/>
        </w:rPr>
        <w:lastRenderedPageBreak/>
        <w:t>9.2 Training</w:t>
      </w:r>
      <w:r w:rsidR="00000000">
        <w:rPr>
          <w:rFonts w:eastAsia="Times New Roman"/>
          <w:sz w:val="22"/>
          <w:szCs w:val="22"/>
        </w:rPr>
        <w:t xml:space="preserve"> must cover: the purpose and key requirements of this Plan; how to read a license and identify provisos; pre-shipment authorization procedures; shipment log requirements; and how to escalate concerns.</w:t>
      </w:r>
    </w:p>
    <w:p w14:paraId="39DAF5D0" w14:textId="77777777" w:rsidR="007B7835" w:rsidRDefault="007B7835">
      <w:pPr>
        <w:spacing w:after="80"/>
      </w:pPr>
    </w:p>
    <w:p w14:paraId="20150F78" w14:textId="7EA41134" w:rsidR="007B7835" w:rsidRDefault="004E4BF8">
      <w:pPr>
        <w:spacing w:after="120"/>
      </w:pPr>
      <w:r>
        <w:rPr>
          <w:sz w:val="22"/>
          <w:szCs w:val="22"/>
        </w:rPr>
        <w:t>9.3 Training</w:t>
      </w:r>
      <w:r w:rsidR="00000000">
        <w:rPr>
          <w:rFonts w:eastAsia="Times New Roman"/>
          <w:sz w:val="22"/>
          <w:szCs w:val="22"/>
        </w:rPr>
        <w:t xml:space="preserve"> records are maintained by [HR / Export Compliance] and retained for a minimum of five (5) years.  Completion of required training is a prerequisite for access to the License Register and authorization to process licensed shipments.</w:t>
      </w:r>
    </w:p>
    <w:p w14:paraId="62FF3F71" w14:textId="77777777" w:rsidR="007B7835" w:rsidRDefault="007B7835">
      <w:pPr>
        <w:spacing w:after="200"/>
      </w:pPr>
    </w:p>
    <w:p w14:paraId="7531AB83"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3AE105E9"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0D8DBC26" w14:textId="77777777" w:rsidR="007B7835" w:rsidRDefault="00000000">
            <w:pPr>
              <w:jc w:val="center"/>
            </w:pPr>
            <w:r>
              <w:rPr>
                <w:rFonts w:eastAsia="Times New Roman"/>
                <w:b/>
                <w:bCs/>
                <w:color w:val="FFFFFF"/>
                <w:sz w:val="22"/>
                <w:szCs w:val="22"/>
              </w:rPr>
              <w:t>§ 10</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1177C584" w14:textId="77777777" w:rsidR="007B7835" w:rsidRDefault="00000000">
            <w:r>
              <w:rPr>
                <w:rFonts w:eastAsia="Times New Roman"/>
                <w:b/>
                <w:bCs/>
                <w:color w:val="FFFFFF"/>
                <w:sz w:val="22"/>
                <w:szCs w:val="22"/>
              </w:rPr>
              <w:t>INTERNAL AUDIT AND PLAN REVIEW</w:t>
            </w:r>
          </w:p>
        </w:tc>
      </w:tr>
    </w:tbl>
    <w:p w14:paraId="65AC94E2" w14:textId="77777777" w:rsidR="007B7835" w:rsidRDefault="007B7835">
      <w:pPr>
        <w:spacing w:after="100"/>
      </w:pPr>
    </w:p>
    <w:p w14:paraId="28D888C1"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The ECO conducts an internal audit of license administration procedures at least annually.  The audit reviews: License Register accuracy; shipment log completeness; proviso compliance; expiration monitoring; and recordkeeping.</w:t>
      </w:r>
    </w:p>
    <w:p w14:paraId="1603281C"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Audit findings are reported to the EO and, if material, to senior management.  Corrective actions are documented using the 41-Corrective Action Plan template.</w:t>
      </w:r>
    </w:p>
    <w:p w14:paraId="12268567"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 xml:space="preserve">This Plan is reviewed and updated at least annually and </w:t>
      </w:r>
      <w:proofErr w:type="gramStart"/>
      <w:r>
        <w:rPr>
          <w:rFonts w:eastAsia="Times New Roman"/>
          <w:sz w:val="22"/>
          <w:szCs w:val="22"/>
        </w:rPr>
        <w:t>upon:</w:t>
      </w:r>
      <w:proofErr w:type="gramEnd"/>
      <w:r>
        <w:rPr>
          <w:rFonts w:eastAsia="Times New Roman"/>
          <w:sz w:val="22"/>
          <w:szCs w:val="22"/>
        </w:rPr>
        <w:t xml:space="preserve"> receipt of a new or amended license with unusual provisos; a change in key personnel; an identified compliance gap or violation; or a significant change in Company licensing activity.</w:t>
      </w:r>
    </w:p>
    <w:p w14:paraId="6AD881FA" w14:textId="77777777" w:rsidR="007B7835" w:rsidRDefault="00000000">
      <w:pPr>
        <w:spacing w:after="80"/>
        <w:ind w:left="360" w:hanging="220"/>
      </w:pPr>
      <w:r>
        <w:rPr>
          <w:rFonts w:eastAsia="Times New Roman"/>
          <w:b/>
          <w:bCs/>
          <w:sz w:val="22"/>
          <w:szCs w:val="22"/>
        </w:rPr>
        <w:t xml:space="preserve">•  </w:t>
      </w:r>
      <w:r>
        <w:rPr>
          <w:rFonts w:eastAsia="Times New Roman"/>
          <w:sz w:val="22"/>
          <w:szCs w:val="22"/>
        </w:rPr>
        <w:t>The EO approves all revisions to this Plan and documents approval in the Revision History table on the cover page.</w:t>
      </w:r>
    </w:p>
    <w:p w14:paraId="0EFF518E" w14:textId="77777777" w:rsidR="007B7835" w:rsidRDefault="007B7835">
      <w:pPr>
        <w:spacing w:after="200"/>
      </w:pPr>
    </w:p>
    <w:p w14:paraId="73E86044" w14:textId="77777777" w:rsidR="007B7835" w:rsidRDefault="007B78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7B7835" w14:paraId="5938EE91"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20" w:type="dxa"/>
              <w:bottom w:w="110" w:type="dxa"/>
              <w:right w:w="120" w:type="dxa"/>
            </w:tcMar>
            <w:vAlign w:val="center"/>
          </w:tcPr>
          <w:p w14:paraId="34C20CEF" w14:textId="77777777" w:rsidR="007B7835" w:rsidRDefault="00000000">
            <w:pPr>
              <w:jc w:val="center"/>
            </w:pPr>
            <w:r>
              <w:rPr>
                <w:rFonts w:eastAsia="Times New Roman"/>
                <w:b/>
                <w:bCs/>
                <w:color w:val="FFFFFF"/>
                <w:sz w:val="22"/>
                <w:szCs w:val="22"/>
              </w:rPr>
              <w:t>§ 11</w:t>
            </w:r>
          </w:p>
        </w:tc>
        <w:tc>
          <w:tcPr>
            <w:tcW w:w="8280" w:type="dxa"/>
            <w:tcBorders>
              <w:top w:val="single" w:sz="4" w:space="0" w:color="999999"/>
              <w:left w:val="single" w:sz="4" w:space="0" w:color="999999"/>
              <w:bottom w:val="single" w:sz="4" w:space="0" w:color="999999"/>
              <w:right w:val="single" w:sz="4" w:space="0" w:color="999999"/>
            </w:tcBorders>
            <w:shd w:val="clear" w:color="auto" w:fill="1A2F6A"/>
            <w:tcMar>
              <w:top w:w="110" w:type="dxa"/>
              <w:left w:w="160" w:type="dxa"/>
              <w:bottom w:w="110" w:type="dxa"/>
              <w:right w:w="160" w:type="dxa"/>
            </w:tcMar>
          </w:tcPr>
          <w:p w14:paraId="13770CF6" w14:textId="77777777" w:rsidR="007B7835" w:rsidRDefault="00000000">
            <w:r>
              <w:rPr>
                <w:rFonts w:eastAsia="Times New Roman"/>
                <w:b/>
                <w:bCs/>
                <w:color w:val="FFFFFF"/>
                <w:sz w:val="22"/>
                <w:szCs w:val="22"/>
              </w:rPr>
              <w:t>VIOLATIONS, ESCALATION, AND VOLUNTARY DISCLOSURE</w:t>
            </w:r>
          </w:p>
        </w:tc>
      </w:tr>
    </w:tbl>
    <w:p w14:paraId="7825092A" w14:textId="77777777" w:rsidR="007B7835" w:rsidRDefault="007B7835">
      <w:pPr>
        <w:spacing w:after="100"/>
      </w:pPr>
    </w:p>
    <w:p w14:paraId="3FDD7DF4" w14:textId="479431A7" w:rsidR="007B7835" w:rsidRDefault="004E4BF8">
      <w:pPr>
        <w:spacing w:after="120"/>
      </w:pPr>
      <w:r>
        <w:rPr>
          <w:sz w:val="22"/>
          <w:szCs w:val="22"/>
        </w:rPr>
        <w:t>11.1 Any</w:t>
      </w:r>
      <w:r w:rsidR="00000000">
        <w:rPr>
          <w:rFonts w:eastAsia="Times New Roman"/>
          <w:sz w:val="22"/>
          <w:szCs w:val="22"/>
        </w:rPr>
        <w:t xml:space="preserve"> employee who discovers or </w:t>
      </w:r>
      <w:proofErr w:type="gramStart"/>
      <w:r w:rsidR="00000000">
        <w:rPr>
          <w:rFonts w:eastAsia="Times New Roman"/>
          <w:sz w:val="22"/>
          <w:szCs w:val="22"/>
        </w:rPr>
        <w:t>suspects</w:t>
      </w:r>
      <w:proofErr w:type="gramEnd"/>
      <w:r w:rsidR="00000000">
        <w:rPr>
          <w:rFonts w:eastAsia="Times New Roman"/>
          <w:sz w:val="22"/>
          <w:szCs w:val="22"/>
        </w:rPr>
        <w:t xml:space="preserve"> a violation of this Plan or of applicable export control laws must immediately notify the ECO and EO.  Suspected violations are treated as described in the 27-Transaction </w:t>
      </w:r>
      <w:proofErr w:type="spellStart"/>
      <w:r w:rsidR="00000000">
        <w:rPr>
          <w:rFonts w:eastAsia="Times New Roman"/>
          <w:sz w:val="22"/>
          <w:szCs w:val="22"/>
        </w:rPr>
        <w:t>Hold_Stop</w:t>
      </w:r>
      <w:proofErr w:type="spellEnd"/>
      <w:r w:rsidR="00000000">
        <w:rPr>
          <w:rFonts w:eastAsia="Times New Roman"/>
          <w:sz w:val="22"/>
          <w:szCs w:val="22"/>
        </w:rPr>
        <w:t xml:space="preserve"> Order and, where applicable, the 38-VSD Template.</w:t>
      </w:r>
    </w:p>
    <w:p w14:paraId="2F35D07C" w14:textId="77777777" w:rsidR="007B7835" w:rsidRDefault="007B7835">
      <w:pPr>
        <w:spacing w:after="80"/>
      </w:pPr>
    </w:p>
    <w:p w14:paraId="3E8BEC87" w14:textId="42DAD831" w:rsidR="007B7835" w:rsidRDefault="004E4BF8">
      <w:pPr>
        <w:spacing w:after="120"/>
      </w:pPr>
      <w:r>
        <w:rPr>
          <w:sz w:val="22"/>
          <w:szCs w:val="22"/>
        </w:rPr>
        <w:t>11.2 The</w:t>
      </w:r>
      <w:r w:rsidR="00000000">
        <w:rPr>
          <w:rFonts w:eastAsia="Times New Roman"/>
          <w:sz w:val="22"/>
          <w:szCs w:val="22"/>
        </w:rPr>
        <w:t xml:space="preserve"> ECO and EO, in consultation with legal counsel, will assess whether a voluntary self-disclosure (VSD) to BIS (15 CFR Part 764) or DDTC (22 CFR § 127.12) is appropriate.  Timely voluntary disclosure is a mitigating factor in penalty determinations.</w:t>
      </w:r>
    </w:p>
    <w:p w14:paraId="18FDDBD3" w14:textId="77777777" w:rsidR="007B7835" w:rsidRDefault="007B7835">
      <w:pPr>
        <w:spacing w:after="80"/>
      </w:pPr>
    </w:p>
    <w:p w14:paraId="5DE6ECE4" w14:textId="25C264A2" w:rsidR="007B7835" w:rsidRDefault="004E4BF8">
      <w:pPr>
        <w:spacing w:after="120"/>
      </w:pPr>
      <w:r>
        <w:rPr>
          <w:sz w:val="22"/>
          <w:szCs w:val="22"/>
        </w:rPr>
        <w:t>11.3 No</w:t>
      </w:r>
      <w:r w:rsidR="00000000">
        <w:rPr>
          <w:rFonts w:eastAsia="Times New Roman"/>
          <w:sz w:val="22"/>
          <w:szCs w:val="22"/>
        </w:rPr>
        <w:t xml:space="preserve"> employee will be retaliated against for good-faith reporting of potential export control violations.</w:t>
      </w:r>
    </w:p>
    <w:p w14:paraId="7F1ACC5A" w14:textId="77777777" w:rsidR="007B7835" w:rsidRDefault="007B7835">
      <w:pPr>
        <w:spacing w:after="200"/>
      </w:pPr>
    </w:p>
    <w:p w14:paraId="3F48C270" w14:textId="77777777" w:rsidR="004E4BF8" w:rsidRDefault="004E4BF8">
      <w:pPr>
        <w:spacing w:after="200"/>
      </w:pPr>
    </w:p>
    <w:p w14:paraId="025C20EC" w14:textId="77777777" w:rsidR="004E4BF8" w:rsidRDefault="004E4BF8">
      <w:pPr>
        <w:spacing w:after="200"/>
      </w:pPr>
    </w:p>
    <w:p w14:paraId="41BE9E59" w14:textId="77777777" w:rsidR="004E4BF8" w:rsidRDefault="004E4BF8">
      <w:pPr>
        <w:spacing w:after="200"/>
      </w:pPr>
    </w:p>
    <w:p w14:paraId="107759A3" w14:textId="77777777" w:rsidR="004E4BF8" w:rsidRDefault="004E4BF8">
      <w:pPr>
        <w:spacing w:after="200"/>
      </w:pPr>
    </w:p>
    <w:p w14:paraId="6B57FE46" w14:textId="77777777" w:rsidR="004E4BF8" w:rsidRDefault="004E4BF8">
      <w:pPr>
        <w:spacing w:after="200"/>
      </w:pPr>
    </w:p>
    <w:p w14:paraId="2C59F7BF" w14:textId="77777777" w:rsidR="004E4BF8" w:rsidRDefault="004E4BF8">
      <w:pPr>
        <w:spacing w:after="200"/>
      </w:pPr>
    </w:p>
    <w:p w14:paraId="24A22EB5" w14:textId="77777777" w:rsidR="004E4BF8" w:rsidRDefault="004E4BF8">
      <w:pPr>
        <w:spacing w:after="200"/>
      </w:pPr>
    </w:p>
    <w:p w14:paraId="3436C214" w14:textId="77777777" w:rsidR="004E4BF8" w:rsidRPr="004E4BF8" w:rsidRDefault="004E4BF8">
      <w:pPr>
        <w:spacing w:after="200"/>
        <w:rPr>
          <w:rFonts w:hint="eastAs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B7835" w14:paraId="2B91993B"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E8EDF4"/>
            <w:tcMar>
              <w:top w:w="120" w:type="dxa"/>
              <w:left w:w="160" w:type="dxa"/>
              <w:bottom w:w="120" w:type="dxa"/>
              <w:right w:w="160" w:type="dxa"/>
            </w:tcMar>
          </w:tcPr>
          <w:p w14:paraId="421E9D9E" w14:textId="33C0531B" w:rsidR="007B7835" w:rsidRDefault="00000000">
            <w:r>
              <w:rPr>
                <w:rFonts w:eastAsia="Times New Roman"/>
                <w:b/>
                <w:bCs/>
              </w:rPr>
              <w:t>PLAN APPROVAL — This License Administration Plan has been reviewed and approved by the undersigned Empowered Official and Export Compliance Officer.</w:t>
            </w:r>
          </w:p>
        </w:tc>
      </w:tr>
    </w:tbl>
    <w:p w14:paraId="0BB03651" w14:textId="77777777" w:rsidR="007B7835" w:rsidRDefault="007B78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360"/>
        <w:gridCol w:w="4440"/>
      </w:tblGrid>
      <w:tr w:rsidR="007B7835" w14:paraId="729246F6"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22078A7" w14:textId="77777777" w:rsidR="007B7835" w:rsidRDefault="00000000">
            <w:pPr>
              <w:spacing w:after="60"/>
            </w:pPr>
            <w:r>
              <w:rPr>
                <w:rFonts w:eastAsia="Times New Roman"/>
                <w:b/>
                <w:bCs/>
                <w:sz w:val="22"/>
                <w:szCs w:val="22"/>
              </w:rPr>
              <w:t>EMPOWERED OFFICIAL</w:t>
            </w:r>
          </w:p>
          <w:p w14:paraId="32C14D20" w14:textId="77777777" w:rsidR="007B7835" w:rsidRDefault="007B7835">
            <w:pPr>
              <w:spacing w:after="320"/>
            </w:pPr>
          </w:p>
          <w:p w14:paraId="3CB88FC8" w14:textId="77777777" w:rsidR="007B7835" w:rsidRDefault="007B7835">
            <w:pPr>
              <w:pBdr>
                <w:bottom w:val="single" w:sz="5" w:space="1" w:color="000000"/>
              </w:pBdr>
              <w:spacing w:after="60"/>
            </w:pPr>
          </w:p>
          <w:p w14:paraId="0F70BD42" w14:textId="77777777" w:rsidR="007B7835" w:rsidRDefault="00000000">
            <w:pPr>
              <w:spacing w:after="40"/>
            </w:pPr>
            <w:r>
              <w:rPr>
                <w:rFonts w:eastAsia="Times New Roman"/>
                <w:sz w:val="22"/>
                <w:szCs w:val="22"/>
              </w:rPr>
              <w:t>Signature</w:t>
            </w:r>
          </w:p>
          <w:p w14:paraId="73193908" w14:textId="77777777" w:rsidR="007B7835" w:rsidRDefault="007B7835">
            <w:pPr>
              <w:spacing w:after="100"/>
            </w:pPr>
          </w:p>
          <w:p w14:paraId="29ADE09E" w14:textId="77777777" w:rsidR="007B7835" w:rsidRDefault="007B7835">
            <w:pPr>
              <w:pBdr>
                <w:bottom w:val="single" w:sz="5" w:space="1" w:color="000000"/>
              </w:pBdr>
              <w:spacing w:after="60"/>
            </w:pPr>
          </w:p>
          <w:p w14:paraId="0E8ED8DB" w14:textId="77777777" w:rsidR="007B7835" w:rsidRDefault="00000000">
            <w:pPr>
              <w:spacing w:after="120"/>
            </w:pPr>
            <w:r>
              <w:rPr>
                <w:rFonts w:eastAsia="Times New Roman"/>
                <w:sz w:val="22"/>
                <w:szCs w:val="22"/>
              </w:rPr>
              <w:t>Printed Name</w:t>
            </w:r>
          </w:p>
          <w:p w14:paraId="1921F9AA" w14:textId="77777777" w:rsidR="007B7835" w:rsidRDefault="007B7835">
            <w:pPr>
              <w:spacing w:after="100"/>
            </w:pPr>
          </w:p>
          <w:p w14:paraId="4773B9C3" w14:textId="77777777" w:rsidR="007B7835" w:rsidRDefault="007B7835">
            <w:pPr>
              <w:pBdr>
                <w:bottom w:val="single" w:sz="5" w:space="1" w:color="000000"/>
              </w:pBdr>
              <w:spacing w:after="60"/>
            </w:pPr>
          </w:p>
          <w:p w14:paraId="3DAA40DC" w14:textId="77777777" w:rsidR="007B7835" w:rsidRDefault="00000000">
            <w:pPr>
              <w:spacing w:after="120"/>
            </w:pPr>
            <w:r>
              <w:rPr>
                <w:rFonts w:eastAsia="Times New Roman"/>
                <w:sz w:val="22"/>
                <w:szCs w:val="22"/>
              </w:rPr>
              <w:t>Title</w:t>
            </w:r>
          </w:p>
          <w:p w14:paraId="47871BA7" w14:textId="77777777" w:rsidR="007B7835" w:rsidRDefault="007B7835">
            <w:pPr>
              <w:spacing w:after="100"/>
            </w:pPr>
          </w:p>
          <w:p w14:paraId="253CA671" w14:textId="77777777" w:rsidR="007B7835" w:rsidRDefault="007B7835">
            <w:pPr>
              <w:pBdr>
                <w:bottom w:val="single" w:sz="5" w:space="1" w:color="000000"/>
              </w:pBdr>
              <w:spacing w:after="60"/>
            </w:pPr>
          </w:p>
          <w:p w14:paraId="22CA0F8D" w14:textId="77777777" w:rsidR="007B7835" w:rsidRDefault="00000000">
            <w:pPr>
              <w:spacing w:after="120"/>
            </w:pPr>
            <w:r>
              <w:rPr>
                <w:rFonts w:eastAsia="Times New Roman"/>
                <w:sz w:val="22"/>
                <w:szCs w:val="22"/>
              </w:rPr>
              <w:t>Date</w:t>
            </w:r>
          </w:p>
        </w:tc>
        <w:tc>
          <w:tcPr>
            <w:tcW w:w="360" w:type="dxa"/>
            <w:tcBorders>
              <w:top w:val="none" w:sz="0" w:space="0" w:color="FFFFFF"/>
              <w:left w:val="none" w:sz="0" w:space="0" w:color="FFFFFF"/>
              <w:bottom w:val="none" w:sz="0" w:space="0" w:color="FFFFFF"/>
              <w:right w:val="none" w:sz="0" w:space="0" w:color="FFFFFF"/>
            </w:tcBorders>
          </w:tcPr>
          <w:p w14:paraId="3CC3472D" w14:textId="77777777" w:rsidR="007B7835" w:rsidRDefault="007B7835">
            <w:pPr>
              <w:spacing w:after="120"/>
            </w:pPr>
          </w:p>
        </w:tc>
        <w:tc>
          <w:tcPr>
            <w:tcW w:w="44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A8E509B" w14:textId="77777777" w:rsidR="007B7835" w:rsidRDefault="00000000">
            <w:pPr>
              <w:spacing w:after="60"/>
            </w:pPr>
            <w:r>
              <w:rPr>
                <w:rFonts w:eastAsia="Times New Roman"/>
                <w:b/>
                <w:bCs/>
                <w:sz w:val="22"/>
                <w:szCs w:val="22"/>
              </w:rPr>
              <w:t>EXPORT COMPLIANCE OFFICER</w:t>
            </w:r>
          </w:p>
          <w:p w14:paraId="30B71A2F" w14:textId="77777777" w:rsidR="007B7835" w:rsidRDefault="007B7835">
            <w:pPr>
              <w:spacing w:after="320"/>
            </w:pPr>
          </w:p>
          <w:p w14:paraId="7B7448AC" w14:textId="77777777" w:rsidR="007B7835" w:rsidRDefault="007B7835">
            <w:pPr>
              <w:pBdr>
                <w:bottom w:val="single" w:sz="5" w:space="1" w:color="000000"/>
              </w:pBdr>
              <w:spacing w:after="60"/>
            </w:pPr>
          </w:p>
          <w:p w14:paraId="3714F941" w14:textId="77777777" w:rsidR="007B7835" w:rsidRDefault="00000000">
            <w:pPr>
              <w:spacing w:after="40"/>
            </w:pPr>
            <w:r>
              <w:rPr>
                <w:rFonts w:eastAsia="Times New Roman"/>
                <w:sz w:val="22"/>
                <w:szCs w:val="22"/>
              </w:rPr>
              <w:t>Signature</w:t>
            </w:r>
          </w:p>
          <w:p w14:paraId="3AAAF560" w14:textId="77777777" w:rsidR="007B7835" w:rsidRDefault="007B7835">
            <w:pPr>
              <w:spacing w:after="100"/>
            </w:pPr>
          </w:p>
          <w:p w14:paraId="4B9437A5" w14:textId="77777777" w:rsidR="007B7835" w:rsidRDefault="007B7835">
            <w:pPr>
              <w:pBdr>
                <w:bottom w:val="single" w:sz="5" w:space="1" w:color="000000"/>
              </w:pBdr>
              <w:spacing w:after="60"/>
            </w:pPr>
          </w:p>
          <w:p w14:paraId="102791A2" w14:textId="77777777" w:rsidR="007B7835" w:rsidRDefault="00000000">
            <w:pPr>
              <w:spacing w:after="120"/>
            </w:pPr>
            <w:r>
              <w:rPr>
                <w:rFonts w:eastAsia="Times New Roman"/>
                <w:sz w:val="22"/>
                <w:szCs w:val="22"/>
              </w:rPr>
              <w:t>Printed Name</w:t>
            </w:r>
          </w:p>
          <w:p w14:paraId="590A9B6A" w14:textId="77777777" w:rsidR="007B7835" w:rsidRDefault="007B7835">
            <w:pPr>
              <w:spacing w:after="100"/>
            </w:pPr>
          </w:p>
          <w:p w14:paraId="06F907C1" w14:textId="77777777" w:rsidR="007B7835" w:rsidRDefault="007B7835">
            <w:pPr>
              <w:pBdr>
                <w:bottom w:val="single" w:sz="5" w:space="1" w:color="000000"/>
              </w:pBdr>
              <w:spacing w:after="60"/>
            </w:pPr>
          </w:p>
          <w:p w14:paraId="1AAB2D37" w14:textId="77777777" w:rsidR="007B7835" w:rsidRDefault="00000000">
            <w:pPr>
              <w:spacing w:after="120"/>
            </w:pPr>
            <w:r>
              <w:rPr>
                <w:rFonts w:eastAsia="Times New Roman"/>
                <w:sz w:val="22"/>
                <w:szCs w:val="22"/>
              </w:rPr>
              <w:t>Title</w:t>
            </w:r>
          </w:p>
          <w:p w14:paraId="33F25001" w14:textId="77777777" w:rsidR="007B7835" w:rsidRDefault="007B7835">
            <w:pPr>
              <w:spacing w:after="100"/>
            </w:pPr>
          </w:p>
          <w:p w14:paraId="71F3F29A" w14:textId="77777777" w:rsidR="007B7835" w:rsidRDefault="007B7835">
            <w:pPr>
              <w:pBdr>
                <w:bottom w:val="single" w:sz="5" w:space="1" w:color="000000"/>
              </w:pBdr>
              <w:spacing w:after="60"/>
            </w:pPr>
          </w:p>
          <w:p w14:paraId="36AEFFA6" w14:textId="77777777" w:rsidR="007B7835" w:rsidRDefault="00000000">
            <w:pPr>
              <w:spacing w:after="120"/>
            </w:pPr>
            <w:r>
              <w:rPr>
                <w:rFonts w:eastAsia="Times New Roman"/>
                <w:sz w:val="22"/>
                <w:szCs w:val="22"/>
              </w:rPr>
              <w:t>Date</w:t>
            </w:r>
          </w:p>
        </w:tc>
      </w:tr>
    </w:tbl>
    <w:p w14:paraId="70B94C64" w14:textId="77777777" w:rsidR="007B7835" w:rsidRDefault="007B7835">
      <w:pPr>
        <w:spacing w:after="200"/>
      </w:pPr>
    </w:p>
    <w:p w14:paraId="0FB49071" w14:textId="77777777" w:rsidR="007B7835" w:rsidRDefault="007B7835">
      <w:pPr>
        <w:pBdr>
          <w:bottom w:val="single" w:sz="4" w:space="0" w:color="999999"/>
        </w:pBdr>
      </w:pPr>
    </w:p>
    <w:p w14:paraId="1D15F91F" w14:textId="77777777" w:rsidR="007B7835" w:rsidRDefault="00000000">
      <w:pPr>
        <w:spacing w:before="100"/>
        <w:jc w:val="center"/>
      </w:pPr>
      <w:r>
        <w:rPr>
          <w:rFonts w:eastAsia="Times New Roman"/>
          <w:i/>
          <w:iCs/>
          <w:sz w:val="18"/>
          <w:szCs w:val="18"/>
        </w:rPr>
        <w:t xml:space="preserve">28-License Admin </w:t>
      </w:r>
      <w:proofErr w:type="gramStart"/>
      <w:r>
        <w:rPr>
          <w:rFonts w:eastAsia="Times New Roman"/>
          <w:i/>
          <w:iCs/>
          <w:sz w:val="18"/>
          <w:szCs w:val="18"/>
        </w:rPr>
        <w:t>Plan  |</w:t>
      </w:r>
      <w:proofErr w:type="gramEnd"/>
      <w:r>
        <w:rPr>
          <w:rFonts w:eastAsia="Times New Roman"/>
          <w:i/>
          <w:iCs/>
          <w:sz w:val="18"/>
          <w:szCs w:val="18"/>
        </w:rPr>
        <w:t xml:space="preserve">  Rev. </w:t>
      </w:r>
      <w:proofErr w:type="gramStart"/>
      <w:r>
        <w:rPr>
          <w:rFonts w:eastAsia="Times New Roman"/>
          <w:i/>
          <w:iCs/>
          <w:sz w:val="18"/>
          <w:szCs w:val="18"/>
        </w:rPr>
        <w:t>1.0  |</w:t>
      </w:r>
      <w:proofErr w:type="gramEnd"/>
      <w:r>
        <w:rPr>
          <w:rFonts w:eastAsia="Times New Roman"/>
          <w:i/>
          <w:iCs/>
          <w:sz w:val="18"/>
          <w:szCs w:val="18"/>
        </w:rPr>
        <w:t xml:space="preserve">  [INSERT COMPANY </w:t>
      </w:r>
      <w:proofErr w:type="gramStart"/>
      <w:r>
        <w:rPr>
          <w:rFonts w:eastAsia="Times New Roman"/>
          <w:i/>
          <w:iCs/>
          <w:sz w:val="18"/>
          <w:szCs w:val="18"/>
        </w:rPr>
        <w:t>NAME]  |</w:t>
      </w:r>
      <w:proofErr w:type="gramEnd"/>
      <w:r>
        <w:rPr>
          <w:rFonts w:eastAsia="Times New Roman"/>
          <w:i/>
          <w:iCs/>
          <w:sz w:val="18"/>
          <w:szCs w:val="18"/>
        </w:rPr>
        <w:t xml:space="preserve">  Export Compliance Program</w:t>
      </w:r>
    </w:p>
    <w:p w14:paraId="6F02EB55" w14:textId="77777777" w:rsidR="007B7835" w:rsidRDefault="00000000">
      <w:pPr>
        <w:spacing w:before="60"/>
        <w:jc w:val="center"/>
      </w:pPr>
      <w:r>
        <w:rPr>
          <w:rFonts w:eastAsia="Times New Roman"/>
          <w:i/>
          <w:iCs/>
          <w:sz w:val="16"/>
          <w:szCs w:val="16"/>
        </w:rPr>
        <w:t xml:space="preserve">Retain in compliance permanent file.  Review annually.  15 CFR §§ 762.2, </w:t>
      </w:r>
      <w:proofErr w:type="gramStart"/>
      <w:r>
        <w:rPr>
          <w:rFonts w:eastAsia="Times New Roman"/>
          <w:i/>
          <w:iCs/>
          <w:sz w:val="16"/>
          <w:szCs w:val="16"/>
        </w:rPr>
        <w:t>764.5  |</w:t>
      </w:r>
      <w:proofErr w:type="gramEnd"/>
      <w:r>
        <w:rPr>
          <w:rFonts w:eastAsia="Times New Roman"/>
          <w:i/>
          <w:iCs/>
          <w:sz w:val="16"/>
          <w:szCs w:val="16"/>
        </w:rPr>
        <w:t xml:space="preserve">  22 CFR §§ 122.5, 127.12.</w:t>
      </w:r>
    </w:p>
    <w:sectPr w:rsidR="007B7835">
      <w:headerReference w:type="default" r:id="rId7"/>
      <w:footerReference w:type="default" r:id="rId8"/>
      <w:pgSz w:w="12240" w:h="15840"/>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A00F" w14:textId="77777777" w:rsidR="00AD60F0" w:rsidRDefault="00AD60F0">
      <w:r>
        <w:separator/>
      </w:r>
    </w:p>
  </w:endnote>
  <w:endnote w:type="continuationSeparator" w:id="0">
    <w:p w14:paraId="6BCE0C50" w14:textId="77777777" w:rsidR="00AD60F0" w:rsidRDefault="00AD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60E1" w14:textId="77777777" w:rsidR="007B7835" w:rsidRDefault="00000000">
    <w:pPr>
      <w:pBdr>
        <w:top w:val="single" w:sz="4" w:space="1" w:color="999999"/>
      </w:pBdr>
      <w:tabs>
        <w:tab w:val="center" w:pos="5112"/>
        <w:tab w:val="right" w:pos="10224"/>
      </w:tabs>
      <w:spacing w:before="80"/>
    </w:pPr>
    <w:r>
      <w:rPr>
        <w:rFonts w:eastAsia="Times New Roman"/>
        <w:i/>
        <w:iCs/>
        <w:sz w:val="16"/>
        <w:szCs w:val="16"/>
      </w:rPr>
      <w:t>CONTROLLED — Export Compliance Use Only</w:t>
    </w:r>
    <w:r>
      <w:rPr>
        <w:rFonts w:eastAsia="Times New Roman"/>
        <w:sz w:val="16"/>
        <w:szCs w:val="16"/>
      </w:rPr>
      <w:tab/>
      <w:t xml:space="preserve">Page </w:t>
    </w:r>
    <w:r>
      <w:rPr>
        <w:sz w:val="16"/>
        <w:szCs w:val="16"/>
      </w:rPr>
      <w:fldChar w:fldCharType="begin"/>
    </w:r>
    <w:r>
      <w:rPr>
        <w:rFonts w:eastAsia="Times New Roman"/>
        <w:sz w:val="16"/>
        <w:szCs w:val="16"/>
      </w:rPr>
      <w:instrText>PAGE</w:instrText>
    </w:r>
    <w:r>
      <w:rPr>
        <w:sz w:val="16"/>
        <w:szCs w:val="16"/>
      </w:rPr>
      <w:fldChar w:fldCharType="separate"/>
    </w:r>
    <w:r w:rsidR="004E4BF8">
      <w:rPr>
        <w:noProof/>
        <w:sz w:val="16"/>
        <w:szCs w:val="16"/>
      </w:rPr>
      <w:t>1</w:t>
    </w:r>
    <w:r>
      <w:rPr>
        <w:sz w:val="16"/>
        <w:szCs w:val="16"/>
      </w:rPr>
      <w:fldChar w:fldCharType="end"/>
    </w:r>
    <w:r>
      <w:rPr>
        <w:rFonts w:eastAsia="Times New Roman"/>
        <w:sz w:val="16"/>
        <w:szCs w:val="16"/>
      </w:rPr>
      <w:tab/>
      <w:t>[INSERT 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B0ED" w14:textId="77777777" w:rsidR="00AD60F0" w:rsidRDefault="00AD60F0">
      <w:r>
        <w:separator/>
      </w:r>
    </w:p>
  </w:footnote>
  <w:footnote w:type="continuationSeparator" w:id="0">
    <w:p w14:paraId="00406CDB" w14:textId="77777777" w:rsidR="00AD60F0" w:rsidRDefault="00AD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4F94" w14:textId="77777777" w:rsidR="007B7835" w:rsidRDefault="00000000">
    <w:pPr>
      <w:pBdr>
        <w:bottom w:val="single" w:sz="4" w:space="1" w:color="999999"/>
      </w:pBdr>
      <w:tabs>
        <w:tab w:val="right" w:pos="10224"/>
      </w:tabs>
      <w:spacing w:after="100"/>
    </w:pPr>
    <w:r>
      <w:rPr>
        <w:rFonts w:eastAsia="Times New Roman"/>
        <w:b/>
        <w:bCs/>
        <w:sz w:val="18"/>
        <w:szCs w:val="18"/>
      </w:rPr>
      <w:t>WRITTEN LICENSE ADMINISTRATION PLAN</w:t>
    </w:r>
    <w:r>
      <w:rPr>
        <w:rFonts w:eastAsia="Times New Roman"/>
        <w:sz w:val="18"/>
        <w:szCs w:val="18"/>
      </w:rPr>
      <w:tab/>
    </w:r>
    <w:r>
      <w:rPr>
        <w:rFonts w:eastAsia="Times New Roman"/>
        <w:i/>
        <w:iCs/>
        <w:sz w:val="18"/>
        <w:szCs w:val="18"/>
      </w:rPr>
      <w:t xml:space="preserve">28-License Admin </w:t>
    </w:r>
    <w:proofErr w:type="gramStart"/>
    <w:r>
      <w:rPr>
        <w:rFonts w:eastAsia="Times New Roman"/>
        <w:i/>
        <w:iCs/>
        <w:sz w:val="18"/>
        <w:szCs w:val="18"/>
      </w:rPr>
      <w:t>Plan  |</w:t>
    </w:r>
    <w:proofErr w:type="gramEnd"/>
    <w:r>
      <w:rPr>
        <w:rFonts w:eastAsia="Times New Roman"/>
        <w:i/>
        <w:iCs/>
        <w:sz w:val="18"/>
        <w:szCs w:val="18"/>
      </w:rPr>
      <w:t xml:space="preserve">  Rev.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37361"/>
    <w:multiLevelType w:val="hybridMultilevel"/>
    <w:tmpl w:val="C30AD01A"/>
    <w:lvl w:ilvl="0" w:tplc="F37C8436">
      <w:start w:val="1"/>
      <w:numFmt w:val="bullet"/>
      <w:lvlText w:val="●"/>
      <w:lvlJc w:val="left"/>
      <w:pPr>
        <w:ind w:left="720" w:hanging="360"/>
      </w:pPr>
    </w:lvl>
    <w:lvl w:ilvl="1" w:tplc="B17EB6BC">
      <w:start w:val="1"/>
      <w:numFmt w:val="bullet"/>
      <w:lvlText w:val="○"/>
      <w:lvlJc w:val="left"/>
      <w:pPr>
        <w:ind w:left="1440" w:hanging="360"/>
      </w:pPr>
    </w:lvl>
    <w:lvl w:ilvl="2" w:tplc="C9C2C8FA">
      <w:start w:val="1"/>
      <w:numFmt w:val="bullet"/>
      <w:lvlText w:val="■"/>
      <w:lvlJc w:val="left"/>
      <w:pPr>
        <w:ind w:left="2160" w:hanging="360"/>
      </w:pPr>
    </w:lvl>
    <w:lvl w:ilvl="3" w:tplc="C74AFD2C">
      <w:start w:val="1"/>
      <w:numFmt w:val="bullet"/>
      <w:lvlText w:val="●"/>
      <w:lvlJc w:val="left"/>
      <w:pPr>
        <w:ind w:left="2880" w:hanging="360"/>
      </w:pPr>
    </w:lvl>
    <w:lvl w:ilvl="4" w:tplc="031E13D0">
      <w:start w:val="1"/>
      <w:numFmt w:val="bullet"/>
      <w:lvlText w:val="○"/>
      <w:lvlJc w:val="left"/>
      <w:pPr>
        <w:ind w:left="3600" w:hanging="360"/>
      </w:pPr>
    </w:lvl>
    <w:lvl w:ilvl="5" w:tplc="8ABAACDE">
      <w:start w:val="1"/>
      <w:numFmt w:val="bullet"/>
      <w:lvlText w:val="■"/>
      <w:lvlJc w:val="left"/>
      <w:pPr>
        <w:ind w:left="4320" w:hanging="360"/>
      </w:pPr>
    </w:lvl>
    <w:lvl w:ilvl="6" w:tplc="609EE146">
      <w:start w:val="1"/>
      <w:numFmt w:val="bullet"/>
      <w:lvlText w:val="●"/>
      <w:lvlJc w:val="left"/>
      <w:pPr>
        <w:ind w:left="5040" w:hanging="360"/>
      </w:pPr>
    </w:lvl>
    <w:lvl w:ilvl="7" w:tplc="EBB080FA">
      <w:start w:val="1"/>
      <w:numFmt w:val="bullet"/>
      <w:lvlText w:val="●"/>
      <w:lvlJc w:val="left"/>
      <w:pPr>
        <w:ind w:left="5760" w:hanging="360"/>
      </w:pPr>
    </w:lvl>
    <w:lvl w:ilvl="8" w:tplc="8CCA9EB4">
      <w:start w:val="1"/>
      <w:numFmt w:val="bullet"/>
      <w:lvlText w:val="●"/>
      <w:lvlJc w:val="left"/>
      <w:pPr>
        <w:ind w:left="6480" w:hanging="360"/>
      </w:pPr>
    </w:lvl>
  </w:abstractNum>
  <w:num w:numId="1" w16cid:durableId="21285030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35"/>
    <w:rsid w:val="004E4BF8"/>
    <w:rsid w:val="007B7835"/>
    <w:rsid w:val="00AD60F0"/>
    <w:rsid w:val="00F6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2C3B"/>
  <w15:docId w15:val="{FF16C45D-ADBD-4FDA-A47E-454A2052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2481</Words>
  <Characters>14445</Characters>
  <Application>Microsoft Office Word</Application>
  <DocSecurity>0</DocSecurity>
  <Lines>481</Lines>
  <Paragraphs>291</Paragraphs>
  <ScaleCrop>false</ScaleCrop>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Kai Tian</cp:lastModifiedBy>
  <cp:revision>3</cp:revision>
  <dcterms:created xsi:type="dcterms:W3CDTF">2026-05-13T21:35:00Z</dcterms:created>
  <dcterms:modified xsi:type="dcterms:W3CDTF">2026-05-13T21:42:00Z</dcterms:modified>
</cp:coreProperties>
</file>